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B1621D">
      <w:pPr>
        <w:spacing w:line="560" w:lineRule="exact"/>
        <w:jc w:val="center"/>
        <w:rPr>
          <w:rFonts w:ascii="方正公文小标宋" w:hAnsi="方正公文小标宋" w:eastAsia="方正公文小标宋" w:cs="方正公文小标宋"/>
          <w:sz w:val="44"/>
          <w:szCs w:val="44"/>
        </w:rPr>
      </w:pPr>
      <w:bookmarkStart w:id="0" w:name="_GoBack"/>
      <w:bookmarkEnd w:id="0"/>
      <w:r>
        <w:rPr>
          <w:rFonts w:hint="eastAsia" w:ascii="宋体" w:hAnsi="宋体" w:eastAsia="宋体" w:cs="Times New Roman"/>
          <w:bCs/>
          <w:sz w:val="44"/>
          <w:szCs w:val="44"/>
        </w:rPr>
        <w:t>上海电力大学优良学风集体及个人评选办法</w:t>
      </w:r>
    </w:p>
    <w:p w14:paraId="25279028">
      <w:pPr>
        <w:spacing w:line="560" w:lineRule="exact"/>
        <w:jc w:val="center"/>
        <w:rPr>
          <w:rFonts w:ascii="黑体" w:hAnsi="黑体" w:eastAsia="黑体" w:cs="黑体"/>
          <w:bCs/>
          <w:sz w:val="40"/>
          <w:szCs w:val="40"/>
        </w:rPr>
      </w:pPr>
    </w:p>
    <w:p w14:paraId="11F35B5F">
      <w:pPr>
        <w:spacing w:line="560" w:lineRule="exact"/>
        <w:ind w:firstLine="640" w:firstLineChars="200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第一章 总则</w:t>
      </w:r>
    </w:p>
    <w:p w14:paraId="5D122D95">
      <w:pPr>
        <w:spacing w:before="157" w:beforeLines="50" w:line="560" w:lineRule="exact"/>
        <w:ind w:firstLine="643" w:firstLineChars="200"/>
        <w:rPr>
          <w:rFonts w:hint="eastAsia" w:ascii="仿宋_GB2312" w:hAnsi="Calibri" w:eastAsia="仿宋_GB2312" w:cs="Times New Roman"/>
          <w:sz w:val="32"/>
          <w:szCs w:val="32"/>
        </w:rPr>
      </w:pPr>
      <w:r>
        <w:rPr>
          <w:rFonts w:hint="eastAsia" w:ascii="仿宋_GB2312" w:hAnsi="Calibri" w:eastAsia="仿宋_GB2312" w:cs="Times New Roman"/>
          <w:b/>
          <w:bCs/>
          <w:sz w:val="32"/>
          <w:szCs w:val="32"/>
        </w:rPr>
        <w:t>第一条</w:t>
      </w:r>
      <w:r>
        <w:rPr>
          <w:rFonts w:hint="eastAsia" w:ascii="仿宋_GB2312" w:hAnsi="Calibri" w:eastAsia="仿宋_GB2312" w:cs="Times New Roman"/>
          <w:sz w:val="32"/>
          <w:szCs w:val="32"/>
        </w:rPr>
        <w:t xml:space="preserve"> 学风是体现一所大学整体精神风貌和文明程度的重要标志，是影响学生成长成才的重要因素。为全面贯彻执行党的教育方针，围绕德才兼备、全面发展的人才培养目标，积极营造优良学风班风校风，推动优良学风集体及个人评选工作标准化、差异化、可量化，兼顾共性要求与学院（学部）特色，结合学校实际，特制订本办法。</w:t>
      </w:r>
    </w:p>
    <w:p w14:paraId="296CC025">
      <w:pPr>
        <w:spacing w:before="157" w:beforeLines="50" w:line="560" w:lineRule="exact"/>
        <w:ind w:firstLine="643" w:firstLineChars="200"/>
        <w:rPr>
          <w:rFonts w:hint="eastAsia" w:ascii="仿宋_GB2312" w:hAnsi="Calibri" w:eastAsia="仿宋_GB2312" w:cs="Times New Roman"/>
          <w:sz w:val="32"/>
          <w:szCs w:val="32"/>
        </w:rPr>
      </w:pPr>
      <w:r>
        <w:rPr>
          <w:rFonts w:hint="eastAsia" w:ascii="仿宋_GB2312" w:hAnsi="Calibri" w:eastAsia="仿宋_GB2312" w:cs="Times New Roman"/>
          <w:b/>
          <w:bCs/>
          <w:sz w:val="32"/>
          <w:szCs w:val="32"/>
        </w:rPr>
        <w:t>第二条</w:t>
      </w:r>
      <w:r>
        <w:rPr>
          <w:rFonts w:hint="eastAsia" w:ascii="仿宋_GB2312" w:hAnsi="Calibri" w:eastAsia="仿宋_GB2312" w:cs="Times New Roman"/>
          <w:sz w:val="32"/>
          <w:szCs w:val="32"/>
        </w:rPr>
        <w:t xml:space="preserve"> 评选优良学风集体及先进个人旨在加强班级集体建设，树立多元典型，激励、引导广大学生勤奋学习、刻苦钻研、勇于实践、开拓创新，促进学生全面和谐发展，不断提高学校人才培养质量。</w:t>
      </w:r>
    </w:p>
    <w:p w14:paraId="6DD0AFA7">
      <w:pPr>
        <w:spacing w:before="157" w:beforeLines="50" w:line="560" w:lineRule="exact"/>
        <w:ind w:firstLine="42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第三条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评选过程中坚持公平、公开、公正、量化、可比原则，对参评班级与个人严格要求，确保评优质量。</w:t>
      </w:r>
    </w:p>
    <w:p w14:paraId="707185EC">
      <w:pPr>
        <w:spacing w:before="157" w:beforeLines="50" w:line="560" w:lineRule="exact"/>
        <w:ind w:firstLine="42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第四条 评选类别</w:t>
      </w:r>
    </w:p>
    <w:p w14:paraId="73ACCA31">
      <w:pPr>
        <w:spacing w:line="560" w:lineRule="exact"/>
        <w:ind w:firstLine="42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本办法设优良学风集体和优良学风个人两类评选项目。其中，优良学风集体包括优良学风班、优良学风示范班；优良学风个人包括优良学风先进个人、学业进步个人。</w:t>
      </w:r>
    </w:p>
    <w:p w14:paraId="287DB91D">
      <w:pPr>
        <w:spacing w:line="560" w:lineRule="exact"/>
        <w:ind w:firstLine="640" w:firstLineChars="200"/>
        <w:jc w:val="center"/>
        <w:rPr>
          <w:rFonts w:hint="eastAsia" w:ascii="黑体" w:hAnsi="黑体" w:eastAsia="黑体" w:cs="黑体"/>
          <w:b w:val="0"/>
          <w:bCs w:val="0"/>
          <w:snapToGrid/>
          <w:spacing w:val="0"/>
          <w:kern w:val="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napToGrid/>
          <w:spacing w:val="0"/>
          <w:kern w:val="2"/>
          <w:sz w:val="32"/>
          <w:szCs w:val="32"/>
          <w:lang w:eastAsia="zh-CN"/>
        </w:rPr>
        <w:t>第二章 评选条件及程序</w:t>
      </w:r>
    </w:p>
    <w:p w14:paraId="3ED37833">
      <w:pPr>
        <w:spacing w:before="157" w:beforeLines="50" w:line="560" w:lineRule="exact"/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0"/>
          <w:sz w:val="32"/>
          <w:szCs w:val="32"/>
          <w:lang w:eastAsia="zh-CN"/>
        </w:rPr>
        <w:t>第五条 优良学风班的评选标准</w:t>
      </w:r>
    </w:p>
    <w:p w14:paraId="06F501D3">
      <w:pPr>
        <w:pStyle w:val="3"/>
        <w:spacing w:line="560" w:lineRule="exact"/>
        <w:ind w:firstLine="656" w:firstLineChars="200"/>
        <w:outlineLvl w:val="2"/>
        <w:rPr>
          <w:spacing w:val="4"/>
          <w:lang w:eastAsia="zh-CN"/>
        </w:rPr>
      </w:pPr>
      <w:r>
        <w:rPr>
          <w:spacing w:val="9"/>
          <w:lang w:eastAsia="zh-CN"/>
        </w:rPr>
        <w:t>1.参照《上海电力大学班级学风评估指</w:t>
      </w:r>
      <w:r>
        <w:rPr>
          <w:spacing w:val="8"/>
          <w:lang w:eastAsia="zh-CN"/>
        </w:rPr>
        <w:t>标体系》</w:t>
      </w:r>
      <w:r>
        <w:rPr>
          <w:spacing w:val="-89"/>
          <w:lang w:eastAsia="zh-CN"/>
        </w:rPr>
        <w:t xml:space="preserve"> </w:t>
      </w:r>
      <w:r>
        <w:rPr>
          <w:spacing w:val="8"/>
          <w:lang w:eastAsia="zh-CN"/>
        </w:rPr>
        <w:t>，</w:t>
      </w:r>
      <w:r>
        <w:rPr>
          <w:spacing w:val="12"/>
          <w:lang w:eastAsia="zh-CN"/>
        </w:rPr>
        <w:t>各学院</w:t>
      </w:r>
      <w:r>
        <w:rPr>
          <w:rFonts w:hint="eastAsia"/>
          <w:spacing w:val="12"/>
          <w:lang w:eastAsia="zh-CN"/>
        </w:rPr>
        <w:t>（学部）</w:t>
      </w:r>
      <w:r>
        <w:rPr>
          <w:spacing w:val="12"/>
          <w:lang w:eastAsia="zh-CN"/>
        </w:rPr>
        <w:t>可结合本学院（学部）实际情况制订相应细则，并上报学</w:t>
      </w:r>
      <w:r>
        <w:rPr>
          <w:spacing w:val="4"/>
          <w:lang w:eastAsia="zh-CN"/>
        </w:rPr>
        <w:t>校备案</w:t>
      </w:r>
      <w:r>
        <w:rPr>
          <w:rFonts w:hint="eastAsia"/>
          <w:spacing w:val="4"/>
          <w:lang w:eastAsia="zh-CN"/>
        </w:rPr>
        <w:t>；</w:t>
      </w:r>
    </w:p>
    <w:p w14:paraId="39EDD897">
      <w:pPr>
        <w:pStyle w:val="3"/>
        <w:spacing w:line="560" w:lineRule="exact"/>
        <w:ind w:firstLine="620" w:firstLineChars="200"/>
        <w:outlineLvl w:val="2"/>
        <w:rPr>
          <w:spacing w:val="3"/>
          <w:lang w:eastAsia="zh-CN"/>
        </w:rPr>
      </w:pPr>
      <w:r>
        <w:rPr>
          <w:rFonts w:hint="eastAsia"/>
          <w:lang w:eastAsia="zh-CN"/>
        </w:rPr>
        <w:t>2</w:t>
      </w:r>
      <w:r>
        <w:rPr>
          <w:lang w:eastAsia="zh-CN"/>
        </w:rPr>
        <w:t>.</w:t>
      </w:r>
      <w:r>
        <w:rPr>
          <w:rFonts w:hint="eastAsia"/>
          <w:lang w:eastAsia="zh-CN"/>
        </w:rPr>
        <w:t>参评期间</w:t>
      </w:r>
      <w:r>
        <w:rPr>
          <w:lang w:eastAsia="zh-CN"/>
        </w:rPr>
        <w:t>班级学生受到学校纪律处分，</w:t>
      </w:r>
      <w:r>
        <w:rPr>
          <w:spacing w:val="12"/>
          <w:lang w:eastAsia="zh-CN"/>
        </w:rPr>
        <w:t>或</w:t>
      </w:r>
      <w:r>
        <w:rPr>
          <w:rFonts w:hint="eastAsia"/>
          <w:spacing w:val="12"/>
          <w:lang w:eastAsia="zh-CN"/>
        </w:rPr>
        <w:t>存在</w:t>
      </w:r>
      <w:r>
        <w:rPr>
          <w:spacing w:val="12"/>
          <w:lang w:eastAsia="zh-CN"/>
        </w:rPr>
        <w:t>弄虚作假</w:t>
      </w:r>
      <w:r>
        <w:rPr>
          <w:rFonts w:hint="eastAsia"/>
          <w:spacing w:val="12"/>
          <w:lang w:eastAsia="zh-CN"/>
        </w:rPr>
        <w:t>行为并经</w:t>
      </w:r>
      <w:r>
        <w:rPr>
          <w:spacing w:val="12"/>
          <w:lang w:eastAsia="zh-CN"/>
        </w:rPr>
        <w:t>查证属实的，取消其所在班级评</w:t>
      </w:r>
      <w:r>
        <w:rPr>
          <w:spacing w:val="3"/>
          <w:lang w:eastAsia="zh-CN"/>
        </w:rPr>
        <w:t>选资格</w:t>
      </w:r>
      <w:r>
        <w:rPr>
          <w:rFonts w:hint="eastAsia"/>
          <w:spacing w:val="3"/>
          <w:lang w:eastAsia="zh-CN"/>
        </w:rPr>
        <w:t>；</w:t>
      </w:r>
    </w:p>
    <w:p w14:paraId="02F2C5E6">
      <w:pPr>
        <w:pStyle w:val="3"/>
        <w:spacing w:line="560" w:lineRule="exact"/>
        <w:ind w:firstLine="632" w:firstLineChars="200"/>
        <w:outlineLvl w:val="2"/>
        <w:rPr>
          <w:spacing w:val="3"/>
          <w:lang w:eastAsia="zh-CN"/>
        </w:rPr>
      </w:pPr>
      <w:r>
        <w:rPr>
          <w:rFonts w:hint="eastAsia"/>
          <w:spacing w:val="3"/>
          <w:lang w:eastAsia="zh-CN"/>
        </w:rPr>
        <w:t>3.班级学风建设举措执行满一学期以上，有记录、有成效。</w:t>
      </w:r>
    </w:p>
    <w:p w14:paraId="5A88B4AA">
      <w:pPr>
        <w:spacing w:before="157" w:beforeLines="50" w:line="560" w:lineRule="exact"/>
        <w:ind w:firstLine="643" w:firstLineChars="200"/>
        <w:rPr>
          <w:rFonts w:hint="eastAsia" w:ascii="仿宋_GB2312" w:hAnsi="仿宋_GB2312" w:eastAsia="仿宋_GB2312" w:cs="仿宋_GB2312"/>
          <w:b/>
          <w:bCs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0"/>
          <w:sz w:val="32"/>
          <w:szCs w:val="32"/>
          <w:lang w:eastAsia="zh-CN"/>
        </w:rPr>
        <w:t>第六条 优良学风示范班评选标准</w:t>
      </w:r>
    </w:p>
    <w:p w14:paraId="428DCC8B">
      <w:pPr>
        <w:pStyle w:val="3"/>
        <w:spacing w:before="0" w:line="560" w:lineRule="exact"/>
        <w:ind w:firstLine="656" w:firstLineChars="200"/>
        <w:outlineLvl w:val="2"/>
        <w:rPr>
          <w:spacing w:val="9"/>
          <w:lang w:eastAsia="zh-CN"/>
        </w:rPr>
      </w:pPr>
      <w:r>
        <w:rPr>
          <w:rFonts w:hint="eastAsia"/>
          <w:spacing w:val="9"/>
          <w:lang w:eastAsia="zh-CN"/>
        </w:rPr>
        <w:t>1.曾获得“上海电力大学优良学风班”荣誉称号；</w:t>
      </w:r>
    </w:p>
    <w:p w14:paraId="4E1DB807">
      <w:pPr>
        <w:pStyle w:val="3"/>
        <w:spacing w:line="560" w:lineRule="exact"/>
        <w:ind w:firstLine="656" w:firstLineChars="200"/>
        <w:outlineLvl w:val="2"/>
        <w:rPr>
          <w:spacing w:val="9"/>
          <w:lang w:eastAsia="zh-CN"/>
        </w:rPr>
      </w:pPr>
      <w:r>
        <w:rPr>
          <w:rFonts w:hint="eastAsia"/>
          <w:spacing w:val="9"/>
          <w:lang w:eastAsia="zh-CN"/>
        </w:rPr>
        <w:t>2.班级平均绩点原则上位列学院（学部）大二至大四班级前20%；</w:t>
      </w:r>
    </w:p>
    <w:p w14:paraId="0A6BEC3F">
      <w:pPr>
        <w:pStyle w:val="3"/>
        <w:spacing w:line="560" w:lineRule="exact"/>
        <w:ind w:firstLine="656" w:firstLineChars="200"/>
        <w:outlineLvl w:val="2"/>
        <w:rPr>
          <w:spacing w:val="9"/>
          <w:lang w:eastAsia="zh-CN"/>
        </w:rPr>
      </w:pPr>
      <w:r>
        <w:rPr>
          <w:rFonts w:hint="eastAsia"/>
          <w:spacing w:val="9"/>
          <w:lang w:eastAsia="zh-CN"/>
        </w:rPr>
        <w:t xml:space="preserve">3.该班级学风建设特色鲜明、成效突出，具有示范推广价值。班级学生积极参与校院两级学业帮扶、朋辈互助、学习指导等学风建设活动，在服务同学学业发展和营造优良学风方面发挥积极作用； </w:t>
      </w:r>
    </w:p>
    <w:p w14:paraId="46750CF4">
      <w:pPr>
        <w:pStyle w:val="3"/>
        <w:spacing w:line="560" w:lineRule="exact"/>
        <w:ind w:firstLine="656" w:firstLineChars="200"/>
        <w:outlineLvl w:val="2"/>
        <w:rPr>
          <w:spacing w:val="6"/>
          <w:lang w:eastAsia="zh-CN"/>
        </w:rPr>
      </w:pPr>
      <w:r>
        <w:rPr>
          <w:rFonts w:hint="eastAsia"/>
          <w:spacing w:val="9"/>
          <w:lang w:eastAsia="zh-CN"/>
        </w:rPr>
        <w:t>4.参评期间</w:t>
      </w:r>
      <w:r>
        <w:rPr>
          <w:spacing w:val="9"/>
          <w:lang w:eastAsia="zh-CN"/>
        </w:rPr>
        <w:t>班级学生受到学校纪律处分，或</w:t>
      </w:r>
      <w:r>
        <w:rPr>
          <w:rFonts w:hint="eastAsia"/>
          <w:spacing w:val="9"/>
          <w:lang w:eastAsia="zh-CN"/>
        </w:rPr>
        <w:t>存在</w:t>
      </w:r>
      <w:r>
        <w:rPr>
          <w:spacing w:val="9"/>
          <w:lang w:eastAsia="zh-CN"/>
        </w:rPr>
        <w:t>弄虚作</w:t>
      </w:r>
      <w:r>
        <w:rPr>
          <w:spacing w:val="6"/>
          <w:lang w:eastAsia="zh-CN"/>
        </w:rPr>
        <w:t>假</w:t>
      </w:r>
      <w:r>
        <w:rPr>
          <w:rFonts w:hint="eastAsia"/>
          <w:spacing w:val="6"/>
          <w:lang w:eastAsia="zh-CN"/>
        </w:rPr>
        <w:t>行为并经</w:t>
      </w:r>
      <w:r>
        <w:rPr>
          <w:spacing w:val="6"/>
          <w:lang w:eastAsia="zh-CN"/>
        </w:rPr>
        <w:t>查证属实的，取消其所在班级评选资格</w:t>
      </w:r>
      <w:r>
        <w:rPr>
          <w:rFonts w:hint="eastAsia"/>
          <w:spacing w:val="6"/>
          <w:lang w:eastAsia="zh-CN"/>
        </w:rPr>
        <w:t>；</w:t>
      </w:r>
    </w:p>
    <w:p w14:paraId="07BBB424">
      <w:pPr>
        <w:spacing w:line="560" w:lineRule="exact"/>
        <w:ind w:firstLine="656" w:firstLineChars="200"/>
        <w:rPr>
          <w:rFonts w:ascii="仿宋" w:hAnsi="仿宋" w:eastAsia="仿宋" w:cs="仿宋"/>
          <w:spacing w:val="9"/>
          <w:sz w:val="31"/>
          <w:szCs w:val="31"/>
        </w:rPr>
      </w:pPr>
      <w:r>
        <w:rPr>
          <w:rFonts w:hint="eastAsia" w:ascii="仿宋" w:hAnsi="仿宋" w:eastAsia="仿宋" w:cs="仿宋"/>
          <w:spacing w:val="9"/>
          <w:sz w:val="31"/>
          <w:szCs w:val="31"/>
        </w:rPr>
        <w:t>5.获得往届“上海电力大学优良学风示范班”的班级不再参与推选；</w:t>
      </w:r>
    </w:p>
    <w:p w14:paraId="15E7B9D9">
      <w:pPr>
        <w:spacing w:line="560" w:lineRule="exact"/>
        <w:ind w:firstLine="644" w:firstLineChars="200"/>
        <w:rPr>
          <w:rFonts w:ascii="仿宋" w:hAnsi="仿宋" w:eastAsia="仿宋" w:cs="仿宋"/>
          <w:spacing w:val="6"/>
          <w:sz w:val="31"/>
          <w:szCs w:val="31"/>
        </w:rPr>
      </w:pPr>
      <w:r>
        <w:rPr>
          <w:rFonts w:hint="eastAsia" w:ascii="仿宋" w:hAnsi="仿宋" w:eastAsia="仿宋" w:cs="仿宋"/>
          <w:spacing w:val="6"/>
          <w:sz w:val="31"/>
          <w:szCs w:val="31"/>
        </w:rPr>
        <w:t>6</w:t>
      </w:r>
      <w:r>
        <w:rPr>
          <w:rFonts w:ascii="仿宋" w:hAnsi="仿宋" w:eastAsia="仿宋" w:cs="仿宋"/>
          <w:spacing w:val="6"/>
          <w:sz w:val="31"/>
          <w:szCs w:val="31"/>
        </w:rPr>
        <w:t>.各学院</w:t>
      </w:r>
      <w:r>
        <w:rPr>
          <w:rFonts w:hint="eastAsia" w:ascii="仿宋" w:hAnsi="仿宋" w:eastAsia="仿宋" w:cs="仿宋"/>
          <w:spacing w:val="6"/>
          <w:sz w:val="31"/>
          <w:szCs w:val="31"/>
        </w:rPr>
        <w:t>（学部）</w:t>
      </w:r>
      <w:r>
        <w:rPr>
          <w:rFonts w:ascii="仿宋" w:hAnsi="仿宋" w:eastAsia="仿宋" w:cs="仿宋"/>
          <w:spacing w:val="6"/>
          <w:sz w:val="31"/>
          <w:szCs w:val="31"/>
        </w:rPr>
        <w:t>择优推荐 “优良学风</w:t>
      </w:r>
      <w:r>
        <w:rPr>
          <w:rFonts w:hint="eastAsia" w:ascii="仿宋" w:hAnsi="仿宋" w:eastAsia="仿宋" w:cs="仿宋"/>
          <w:spacing w:val="6"/>
          <w:sz w:val="31"/>
          <w:szCs w:val="31"/>
        </w:rPr>
        <w:t>示范班</w:t>
      </w:r>
      <w:r>
        <w:rPr>
          <w:rFonts w:ascii="仿宋" w:hAnsi="仿宋" w:eastAsia="仿宋" w:cs="仿宋"/>
          <w:spacing w:val="6"/>
          <w:sz w:val="31"/>
          <w:szCs w:val="31"/>
        </w:rPr>
        <w:t>”上报</w:t>
      </w:r>
      <w:r>
        <w:rPr>
          <w:rFonts w:hint="eastAsia" w:ascii="仿宋" w:hAnsi="仿宋" w:eastAsia="仿宋" w:cs="仿宋"/>
          <w:spacing w:val="6"/>
          <w:sz w:val="31"/>
          <w:szCs w:val="31"/>
        </w:rPr>
        <w:t>党委</w:t>
      </w:r>
      <w:r>
        <w:rPr>
          <w:rFonts w:ascii="仿宋" w:hAnsi="仿宋" w:eastAsia="仿宋" w:cs="仿宋"/>
          <w:spacing w:val="6"/>
          <w:sz w:val="31"/>
          <w:szCs w:val="31"/>
        </w:rPr>
        <w:t>学</w:t>
      </w:r>
      <w:r>
        <w:rPr>
          <w:rFonts w:ascii="仿宋" w:hAnsi="仿宋" w:eastAsia="仿宋" w:cs="仿宋"/>
          <w:spacing w:val="6"/>
          <w:sz w:val="31"/>
          <w:szCs w:val="31"/>
        </w:rPr>
        <w:drawing>
          <wp:anchor distT="0" distB="0" distL="114300" distR="114300" simplePos="0" relativeHeight="251661312" behindDoc="0" locked="0" layoutInCell="0" allowOverlap="1">
            <wp:simplePos x="0" y="0"/>
            <wp:positionH relativeFrom="page">
              <wp:posOffset>-3175</wp:posOffset>
            </wp:positionH>
            <wp:positionV relativeFrom="page">
              <wp:posOffset>-3175</wp:posOffset>
            </wp:positionV>
            <wp:extent cx="6350" cy="6350"/>
            <wp:effectExtent l="0" t="0" r="0" b="0"/>
            <wp:wrapNone/>
            <wp:docPr id="3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pacing w:val="6"/>
          <w:sz w:val="31"/>
          <w:szCs w:val="31"/>
        </w:rPr>
        <w:t>生工作部（学生处）</w:t>
      </w:r>
      <w:r>
        <w:rPr>
          <w:rFonts w:ascii="仿宋" w:hAnsi="仿宋" w:eastAsia="仿宋" w:cs="仿宋"/>
          <w:spacing w:val="6"/>
          <w:sz w:val="31"/>
          <w:szCs w:val="31"/>
        </w:rPr>
        <w:t>，学校评审委员会将组织公开答辩</w:t>
      </w:r>
      <w:r>
        <w:rPr>
          <w:rFonts w:hint="eastAsia" w:ascii="仿宋" w:hAnsi="仿宋" w:eastAsia="仿宋" w:cs="仿宋"/>
          <w:spacing w:val="6"/>
          <w:sz w:val="31"/>
          <w:szCs w:val="31"/>
        </w:rPr>
        <w:t xml:space="preserve">；     </w:t>
      </w:r>
    </w:p>
    <w:p w14:paraId="7BCBF877">
      <w:pPr>
        <w:spacing w:line="560" w:lineRule="exact"/>
        <w:ind w:firstLine="644" w:firstLineChars="200"/>
        <w:rPr>
          <w:b/>
          <w:bCs/>
          <w:spacing w:val="9"/>
          <w:lang w:eastAsia="zh-CN"/>
        </w:rPr>
      </w:pPr>
      <w:r>
        <w:rPr>
          <w:rFonts w:hint="eastAsia" w:ascii="仿宋" w:hAnsi="仿宋" w:eastAsia="仿宋" w:cs="仿宋"/>
          <w:spacing w:val="6"/>
          <w:sz w:val="31"/>
          <w:szCs w:val="31"/>
        </w:rPr>
        <w:t>7.本次评选综合成绩由客观评价得分和现场公开答辩得分两部分构成，其中客观评价得分占30%，现场公开答辩得分占70%。客观评价得分根据《上海电力大学班级学风评估指标体系》相关指标确定，两项得分按比例折算后计入最终成绩。</w:t>
      </w:r>
    </w:p>
    <w:p w14:paraId="4D0CA000">
      <w:pPr>
        <w:spacing w:before="157" w:beforeLines="50" w:line="560" w:lineRule="exact"/>
        <w:ind w:left="0"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0"/>
          <w:sz w:val="32"/>
          <w:szCs w:val="32"/>
          <w:lang w:eastAsia="zh-CN"/>
        </w:rPr>
        <w:t>第七条 优良学风先进个人的评选标准</w:t>
      </w:r>
    </w:p>
    <w:p w14:paraId="2FD38EB2">
      <w:pPr>
        <w:pStyle w:val="3"/>
        <w:spacing w:before="0" w:line="560" w:lineRule="exact"/>
        <w:ind w:left="0" w:right="0" w:firstLine="620" w:firstLineChars="200"/>
        <w:rPr>
          <w:spacing w:val="7"/>
          <w:lang w:eastAsia="zh-CN"/>
        </w:rPr>
      </w:pPr>
      <w:r>
        <w:rPr>
          <w:lang w:eastAsia="zh-CN"/>
        </w:rPr>
        <w:t>1.热爱祖国，拥护中国共产党的领导和党</w:t>
      </w:r>
      <w:r>
        <w:rPr>
          <w:spacing w:val="-1"/>
          <w:lang w:eastAsia="zh-CN"/>
        </w:rPr>
        <w:t>的路线、方针、</w:t>
      </w:r>
      <w:r>
        <w:rPr>
          <w:spacing w:val="12"/>
          <w:lang w:eastAsia="zh-CN"/>
        </w:rPr>
        <w:t>政策，关心国家大事，关心学校的建设与发展，有高度的责</w:t>
      </w:r>
      <w:r>
        <w:rPr>
          <w:spacing w:val="7"/>
          <w:lang w:eastAsia="zh-CN"/>
        </w:rPr>
        <w:t>任感、使命感和集体荣誉感；</w:t>
      </w:r>
    </w:p>
    <w:p w14:paraId="5D372BD9">
      <w:pPr>
        <w:pStyle w:val="3"/>
        <w:spacing w:line="560" w:lineRule="exact"/>
        <w:ind w:firstLine="656" w:firstLineChars="200"/>
        <w:rPr>
          <w:lang w:eastAsia="zh-CN"/>
        </w:rPr>
      </w:pPr>
      <w:r>
        <w:rPr>
          <w:spacing w:val="9"/>
          <w:lang w:eastAsia="zh-CN"/>
        </w:rPr>
        <w:t>2.学习刻苦，</w:t>
      </w:r>
      <w:r>
        <w:rPr>
          <w:spacing w:val="-82"/>
          <w:lang w:eastAsia="zh-CN"/>
        </w:rPr>
        <w:t xml:space="preserve"> </w:t>
      </w:r>
      <w:r>
        <w:rPr>
          <w:spacing w:val="9"/>
          <w:lang w:eastAsia="zh-CN"/>
        </w:rPr>
        <w:t>品行端正，综合测评情况在班级</w:t>
      </w:r>
      <w:r>
        <w:rPr>
          <w:spacing w:val="8"/>
          <w:lang w:eastAsia="zh-CN"/>
        </w:rPr>
        <w:t>、专业名列前茅或在学术活动、学习竞赛中表现突出，成绩优秀；</w:t>
      </w:r>
    </w:p>
    <w:p w14:paraId="10B62151">
      <w:pPr>
        <w:pStyle w:val="3"/>
        <w:spacing w:line="560" w:lineRule="exact"/>
        <w:ind w:left="0" w:firstLine="664" w:firstLineChars="200"/>
        <w:outlineLvl w:val="9"/>
        <w:rPr>
          <w:b/>
          <w:bCs/>
          <w:spacing w:val="9"/>
          <w:lang w:eastAsia="zh-CN"/>
        </w:rPr>
      </w:pPr>
      <w:r>
        <w:rPr>
          <w:spacing w:val="11"/>
          <w:lang w:eastAsia="zh-CN"/>
        </w:rPr>
        <w:t>3.</w:t>
      </w:r>
      <w:r>
        <w:rPr>
          <w:rFonts w:hint="eastAsia"/>
          <w:spacing w:val="11"/>
          <w:lang w:eastAsia="zh-CN"/>
        </w:rPr>
        <w:t>在优良学风创建活动中表现突出，在班级学风建设中发挥骨干作用，具有较高的同学认可度；积极参与校院组织的学业帮扶、助学辅导、朋辈答疑等助学服务，在学习互助与经验分享中发挥示范带动作用，带动身边同学共同进步。</w:t>
      </w:r>
    </w:p>
    <w:p w14:paraId="11835020">
      <w:pPr>
        <w:spacing w:before="157" w:beforeLines="50" w:line="560" w:lineRule="exact"/>
        <w:ind w:left="0"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0"/>
          <w:sz w:val="32"/>
          <w:szCs w:val="32"/>
          <w:lang w:eastAsia="zh-CN"/>
        </w:rPr>
        <w:t>第八条 学业进步个人的评选标准</w:t>
      </w:r>
    </w:p>
    <w:p w14:paraId="571DAC0B">
      <w:pPr>
        <w:pStyle w:val="3"/>
        <w:spacing w:before="0" w:line="560" w:lineRule="exact"/>
        <w:ind w:left="0" w:right="0" w:firstLine="620" w:firstLineChars="200"/>
        <w:rPr>
          <w:spacing w:val="7"/>
          <w:lang w:eastAsia="zh-CN"/>
        </w:rPr>
      </w:pPr>
      <w:r>
        <w:rPr>
          <w:lang w:eastAsia="zh-CN"/>
        </w:rPr>
        <w:t>1.热爱祖国，拥护中国共产党的领导和党</w:t>
      </w:r>
      <w:r>
        <w:rPr>
          <w:spacing w:val="-1"/>
          <w:lang w:eastAsia="zh-CN"/>
        </w:rPr>
        <w:t>的路线、方针、</w:t>
      </w:r>
      <w:r>
        <w:rPr>
          <w:spacing w:val="12"/>
          <w:lang w:eastAsia="zh-CN"/>
        </w:rPr>
        <w:t>政策，关心国家大事，关心学校的建设与发展，有高度的责</w:t>
      </w:r>
      <w:r>
        <w:rPr>
          <w:spacing w:val="7"/>
          <w:lang w:eastAsia="zh-CN"/>
        </w:rPr>
        <w:t>任感、使命感和集体荣誉感；</w:t>
      </w:r>
    </w:p>
    <w:p w14:paraId="0029684E">
      <w:pPr>
        <w:pStyle w:val="3"/>
        <w:spacing w:line="560" w:lineRule="exact"/>
        <w:ind w:firstLine="656" w:firstLineChars="200"/>
        <w:rPr>
          <w:spacing w:val="9"/>
          <w:lang w:eastAsia="zh-CN"/>
        </w:rPr>
      </w:pPr>
      <w:r>
        <w:rPr>
          <w:spacing w:val="9"/>
          <w:lang w:eastAsia="zh-CN"/>
        </w:rPr>
        <w:t>2.</w:t>
      </w:r>
      <w:r>
        <w:rPr>
          <w:rFonts w:hint="eastAsia"/>
          <w:spacing w:val="9"/>
          <w:lang w:eastAsia="zh-CN"/>
        </w:rPr>
        <w:t>学习态度端正，品行优良，无挂科、无违纪；学业进步显著，原则上学年平均绩点较上一学年提升≥0.5，或专业排名提升≥10%，学习主动性与自律性明显增强；</w:t>
      </w:r>
    </w:p>
    <w:p w14:paraId="1ABAEDC8">
      <w:pPr>
        <w:pStyle w:val="3"/>
        <w:spacing w:before="0" w:line="560" w:lineRule="exact"/>
        <w:ind w:left="0" w:firstLine="664" w:firstLineChars="200"/>
        <w:outlineLvl w:val="9"/>
        <w:rPr>
          <w:b/>
          <w:bCs/>
          <w:spacing w:val="3"/>
          <w:lang w:eastAsia="zh-CN"/>
        </w:rPr>
      </w:pPr>
      <w:r>
        <w:rPr>
          <w:spacing w:val="11"/>
          <w:lang w:eastAsia="zh-CN"/>
        </w:rPr>
        <w:t>3.</w:t>
      </w:r>
      <w:r>
        <w:rPr>
          <w:rFonts w:hint="eastAsia"/>
          <w:spacing w:val="11"/>
          <w:lang w:eastAsia="zh-CN"/>
        </w:rPr>
        <w:t>在优良学风创建活动中表现积极、作用突出，能够主动端正学习态度、改善学习习惯，积极带动身边同学互帮互助、共同进步；进步事迹真实可查、可复制、可推广。</w:t>
      </w:r>
    </w:p>
    <w:p w14:paraId="741491CF">
      <w:pPr>
        <w:spacing w:before="157" w:beforeLines="50" w:line="560" w:lineRule="exact"/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0"/>
          <w:sz w:val="32"/>
          <w:szCs w:val="32"/>
          <w:lang w:eastAsia="zh-CN"/>
        </w:rPr>
        <w:t>第九条 评审机构</w:t>
      </w:r>
    </w:p>
    <w:p w14:paraId="4A322214">
      <w:pPr>
        <w:pStyle w:val="3"/>
        <w:spacing w:before="0" w:line="560" w:lineRule="exact"/>
        <w:ind w:left="0" w:right="0" w:firstLine="668" w:firstLineChars="200"/>
        <w:rPr>
          <w:spacing w:val="12"/>
          <w:lang w:eastAsia="zh-CN"/>
        </w:rPr>
      </w:pPr>
      <w:r>
        <w:rPr>
          <w:rFonts w:hint="eastAsia"/>
          <w:spacing w:val="12"/>
          <w:lang w:eastAsia="zh-CN"/>
        </w:rPr>
        <w:t>学校成立优良学风集体及个人评审委员会，由党委学生工作部（学生处）、本科生院、团委等相关职能部门人员，以及专业教师代表、辅导员代表和学生代表组成。</w:t>
      </w:r>
    </w:p>
    <w:p w14:paraId="643CBDCE">
      <w:pPr>
        <w:pStyle w:val="3"/>
        <w:spacing w:before="0" w:line="560" w:lineRule="exact"/>
        <w:ind w:left="0" w:right="0" w:firstLine="640" w:firstLineChars="200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学院（学部）成立学风建设工作小组，负责本单位初评、材料审核与公开答辩。</w:t>
      </w:r>
    </w:p>
    <w:p w14:paraId="0F44D4A0">
      <w:pPr>
        <w:spacing w:before="157" w:beforeLines="50" w:line="560" w:lineRule="exact"/>
        <w:ind w:left="0"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0"/>
          <w:sz w:val="32"/>
          <w:szCs w:val="32"/>
          <w:lang w:eastAsia="zh-CN"/>
        </w:rPr>
        <w:t>第十条 获奖名额</w:t>
      </w:r>
    </w:p>
    <w:p w14:paraId="73C8C4D6">
      <w:pPr>
        <w:pStyle w:val="3"/>
        <w:spacing w:before="0" w:line="560" w:lineRule="exact"/>
        <w:ind w:left="0" w:right="0" w:firstLine="664" w:firstLineChars="200"/>
        <w:rPr>
          <w:spacing w:val="6"/>
          <w:lang w:eastAsia="zh-CN"/>
        </w:rPr>
      </w:pPr>
      <w:r>
        <w:rPr>
          <w:spacing w:val="11"/>
          <w:lang w:eastAsia="zh-CN"/>
        </w:rPr>
        <w:t>1.优良学风集体及个人每学年评选一次，原则上按</w:t>
      </w:r>
      <w:r>
        <w:rPr>
          <w:spacing w:val="6"/>
          <w:lang w:eastAsia="zh-CN"/>
        </w:rPr>
        <w:t>专业、按年级评比。</w:t>
      </w:r>
    </w:p>
    <w:p w14:paraId="5DD0AE13">
      <w:pPr>
        <w:pStyle w:val="3"/>
        <w:spacing w:before="0" w:line="560" w:lineRule="exact"/>
        <w:ind w:left="0" w:right="0" w:firstLine="652" w:firstLineChars="200"/>
        <w:rPr>
          <w:lang w:eastAsia="zh-CN"/>
        </w:rPr>
      </w:pPr>
      <w:r>
        <w:rPr>
          <w:spacing w:val="8"/>
          <w:lang w:eastAsia="zh-CN"/>
        </w:rPr>
        <w:t>2.各学院</w:t>
      </w:r>
      <w:r>
        <w:rPr>
          <w:rFonts w:hint="eastAsia"/>
          <w:spacing w:val="8"/>
          <w:lang w:eastAsia="zh-CN"/>
        </w:rPr>
        <w:t>（学部）</w:t>
      </w:r>
      <w:r>
        <w:rPr>
          <w:spacing w:val="8"/>
          <w:lang w:eastAsia="zh-CN"/>
        </w:rPr>
        <w:t>优良学风班的评选比例不超过具有参评资</w:t>
      </w:r>
      <w:r>
        <w:rPr>
          <w:spacing w:val="6"/>
          <w:lang w:eastAsia="zh-CN"/>
        </w:rPr>
        <w:t>格的班级总数的10%。优良学风示范班的评选根据公开答辩综</w:t>
      </w:r>
      <w:r>
        <w:rPr>
          <w:spacing w:val="9"/>
          <w:lang w:eastAsia="zh-CN"/>
        </w:rPr>
        <w:t>合得分报评审委员会审定。优良学风先进个人的评选比例不</w:t>
      </w:r>
      <w:r>
        <w:rPr>
          <w:spacing w:val="6"/>
          <w:lang w:eastAsia="zh-CN"/>
        </w:rPr>
        <w:t>超过具有参评资格的学生总数的</w:t>
      </w:r>
      <w:r>
        <w:rPr>
          <w:spacing w:val="-34"/>
          <w:lang w:eastAsia="zh-CN"/>
        </w:rPr>
        <w:t xml:space="preserve"> </w:t>
      </w:r>
      <w:r>
        <w:rPr>
          <w:spacing w:val="6"/>
          <w:lang w:eastAsia="zh-CN"/>
        </w:rPr>
        <w:t>1%。</w:t>
      </w:r>
      <w:r>
        <w:rPr>
          <w:rFonts w:hint="eastAsia"/>
          <w:spacing w:val="6"/>
          <w:lang w:eastAsia="zh-CN"/>
        </w:rPr>
        <w:t>学习进步</w:t>
      </w:r>
      <w:r>
        <w:rPr>
          <w:spacing w:val="9"/>
          <w:lang w:eastAsia="zh-CN"/>
        </w:rPr>
        <w:t>个人的评选比例不</w:t>
      </w:r>
      <w:r>
        <w:rPr>
          <w:spacing w:val="6"/>
          <w:lang w:eastAsia="zh-CN"/>
        </w:rPr>
        <w:t>超过具有参评资格的学生总数的</w:t>
      </w:r>
      <w:r>
        <w:rPr>
          <w:spacing w:val="-34"/>
          <w:lang w:eastAsia="zh-CN"/>
        </w:rPr>
        <w:t xml:space="preserve"> </w:t>
      </w:r>
      <w:r>
        <w:rPr>
          <w:rFonts w:hint="eastAsia"/>
          <w:spacing w:val="-34"/>
          <w:lang w:eastAsia="zh-CN"/>
        </w:rPr>
        <w:t xml:space="preserve">1 </w:t>
      </w:r>
      <w:r>
        <w:rPr>
          <w:spacing w:val="6"/>
          <w:lang w:eastAsia="zh-CN"/>
        </w:rPr>
        <w:t>%</w:t>
      </w:r>
      <w:r>
        <w:rPr>
          <w:rFonts w:hint="eastAsia"/>
          <w:spacing w:val="6"/>
          <w:lang w:eastAsia="zh-CN"/>
        </w:rPr>
        <w:t xml:space="preserve">。 </w:t>
      </w:r>
    </w:p>
    <w:p w14:paraId="227F337E">
      <w:pPr>
        <w:spacing w:before="157" w:beforeLines="50" w:line="560" w:lineRule="exact"/>
        <w:ind w:left="0"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0"/>
          <w:sz w:val="32"/>
          <w:szCs w:val="32"/>
          <w:lang w:eastAsia="zh-CN"/>
        </w:rPr>
        <w:t>第十一条 评选程序</w:t>
      </w:r>
    </w:p>
    <w:p w14:paraId="38542FF2">
      <w:pPr>
        <w:pStyle w:val="3"/>
        <w:spacing w:before="0" w:line="560" w:lineRule="exact"/>
        <w:ind w:left="0" w:right="0" w:firstLine="658" w:firstLineChars="200"/>
        <w:rPr>
          <w:spacing w:val="8"/>
          <w:lang w:eastAsia="zh-CN"/>
        </w:rPr>
      </w:pPr>
      <w:r>
        <w:rPr>
          <w:b/>
          <w:bCs/>
          <w:spacing w:val="9"/>
          <w:lang w:eastAsia="zh-CN"/>
        </w:rPr>
        <w:t>1.班级、个人申报：</w:t>
      </w:r>
      <w:r>
        <w:rPr>
          <w:spacing w:val="9"/>
          <w:lang w:eastAsia="zh-CN"/>
        </w:rPr>
        <w:t>参加评选的班级和学生</w:t>
      </w:r>
      <w:r>
        <w:rPr>
          <w:spacing w:val="8"/>
          <w:lang w:eastAsia="zh-CN"/>
        </w:rPr>
        <w:t>个人向所在</w:t>
      </w:r>
      <w:r>
        <w:rPr>
          <w:spacing w:val="9"/>
          <w:lang w:eastAsia="zh-CN"/>
        </w:rPr>
        <w:t>学院</w:t>
      </w:r>
      <w:r>
        <w:rPr>
          <w:rFonts w:hint="eastAsia"/>
          <w:spacing w:val="9"/>
          <w:lang w:eastAsia="zh-CN"/>
        </w:rPr>
        <w:t>（学部）</w:t>
      </w:r>
      <w:r>
        <w:rPr>
          <w:spacing w:val="9"/>
          <w:lang w:eastAsia="zh-CN"/>
        </w:rPr>
        <w:t>提出申请，分别填写《上海电力大学优良学风班申报表》、《上海电力大学优良学风示范班申报表》、《上海</w:t>
      </w:r>
      <w:r>
        <w:rPr>
          <w:spacing w:val="10"/>
          <w:lang w:eastAsia="zh-CN"/>
        </w:rPr>
        <w:t>电力大学优良学风先进个人申报表》</w:t>
      </w:r>
      <w:r>
        <w:rPr>
          <w:rFonts w:hint="eastAsia"/>
          <w:spacing w:val="10"/>
          <w:lang w:eastAsia="zh-CN"/>
        </w:rPr>
        <w:t>《上海电力大学学习进步个人申报表》</w:t>
      </w:r>
      <w:r>
        <w:rPr>
          <w:spacing w:val="10"/>
          <w:lang w:eastAsia="zh-CN"/>
        </w:rPr>
        <w:t>，根据评选办法规定，</w:t>
      </w:r>
      <w:r>
        <w:rPr>
          <w:spacing w:val="8"/>
          <w:lang w:eastAsia="zh-CN"/>
        </w:rPr>
        <w:t>认真准备申报材料，按时递交学院</w:t>
      </w:r>
      <w:r>
        <w:rPr>
          <w:rFonts w:hint="eastAsia"/>
          <w:spacing w:val="8"/>
          <w:lang w:eastAsia="zh-CN"/>
        </w:rPr>
        <w:t>（学部）</w:t>
      </w:r>
      <w:r>
        <w:rPr>
          <w:spacing w:val="8"/>
          <w:lang w:eastAsia="zh-CN"/>
        </w:rPr>
        <w:t>进行初评。</w:t>
      </w:r>
    </w:p>
    <w:p w14:paraId="72755CC4">
      <w:pPr>
        <w:pStyle w:val="3"/>
        <w:spacing w:line="560" w:lineRule="exact"/>
        <w:ind w:firstLine="650" w:firstLineChars="200"/>
        <w:rPr>
          <w:lang w:eastAsia="zh-CN"/>
        </w:rPr>
      </w:pPr>
      <w:r>
        <w:rPr>
          <w:b/>
          <w:bCs/>
          <w:spacing w:val="7"/>
          <w:lang w:eastAsia="zh-CN"/>
        </w:rPr>
        <w:t>2.学院</w:t>
      </w:r>
      <w:r>
        <w:rPr>
          <w:rFonts w:hint="eastAsia"/>
          <w:b/>
          <w:bCs/>
          <w:spacing w:val="7"/>
          <w:lang w:eastAsia="zh-CN"/>
        </w:rPr>
        <w:t>（学部）</w:t>
      </w:r>
      <w:r>
        <w:rPr>
          <w:b/>
          <w:bCs/>
          <w:spacing w:val="7"/>
          <w:lang w:eastAsia="zh-CN"/>
        </w:rPr>
        <w:t>审核：</w:t>
      </w:r>
      <w:r>
        <w:rPr>
          <w:spacing w:val="7"/>
          <w:lang w:eastAsia="zh-CN"/>
        </w:rPr>
        <w:t>各学院</w:t>
      </w:r>
      <w:r>
        <w:rPr>
          <w:rFonts w:hint="eastAsia"/>
          <w:spacing w:val="7"/>
          <w:lang w:eastAsia="zh-CN"/>
        </w:rPr>
        <w:t>（学部）</w:t>
      </w:r>
      <w:r>
        <w:rPr>
          <w:spacing w:val="7"/>
          <w:lang w:eastAsia="zh-CN"/>
        </w:rPr>
        <w:t>按照评选办法和学院</w:t>
      </w:r>
      <w:r>
        <w:rPr>
          <w:rFonts w:hint="eastAsia"/>
          <w:spacing w:val="7"/>
          <w:lang w:eastAsia="zh-CN"/>
        </w:rPr>
        <w:t>（学部）</w:t>
      </w:r>
      <w:r>
        <w:rPr>
          <w:spacing w:val="7"/>
          <w:lang w:eastAsia="zh-CN"/>
        </w:rPr>
        <w:t>的评选细则，</w:t>
      </w:r>
      <w:r>
        <w:rPr>
          <w:spacing w:val="9"/>
          <w:lang w:eastAsia="zh-CN"/>
        </w:rPr>
        <w:t>组织申报班级、个人进行公开答辩，做好评比结果的公示和</w:t>
      </w:r>
      <w:r>
        <w:rPr>
          <w:spacing w:val="8"/>
          <w:lang w:eastAsia="zh-CN"/>
        </w:rPr>
        <w:t>审核工作，并按时上报至</w:t>
      </w:r>
      <w:r>
        <w:rPr>
          <w:rFonts w:hint="eastAsia"/>
          <w:spacing w:val="8"/>
          <w:lang w:eastAsia="zh-CN"/>
        </w:rPr>
        <w:t>党委</w:t>
      </w:r>
      <w:r>
        <w:rPr>
          <w:spacing w:val="8"/>
          <w:lang w:eastAsia="zh-CN"/>
        </w:rPr>
        <w:t>学生工作部（</w:t>
      </w:r>
      <w:r>
        <w:rPr>
          <w:rFonts w:hint="eastAsia"/>
          <w:spacing w:val="8"/>
          <w:lang w:eastAsia="zh-CN"/>
        </w:rPr>
        <w:t>学生</w:t>
      </w:r>
      <w:r>
        <w:rPr>
          <w:spacing w:val="8"/>
          <w:lang w:eastAsia="zh-CN"/>
        </w:rPr>
        <w:t>处）。</w:t>
      </w:r>
    </w:p>
    <w:p w14:paraId="1712657E">
      <w:pPr>
        <w:pStyle w:val="3"/>
        <w:spacing w:line="560" w:lineRule="exact"/>
        <w:ind w:firstLine="654" w:firstLineChars="200"/>
        <w:rPr>
          <w:spacing w:val="7"/>
          <w:lang w:eastAsia="zh-CN"/>
        </w:rPr>
      </w:pPr>
      <w:r>
        <w:rPr>
          <w:b/>
          <w:bCs/>
          <w:spacing w:val="8"/>
          <w:lang w:eastAsia="zh-CN"/>
        </w:rPr>
        <w:t>3.学校审定：</w:t>
      </w:r>
      <w:r>
        <w:rPr>
          <w:rFonts w:hint="eastAsia"/>
          <w:spacing w:val="8"/>
          <w:lang w:eastAsia="zh-CN"/>
        </w:rPr>
        <w:t>党委</w:t>
      </w:r>
      <w:r>
        <w:rPr>
          <w:spacing w:val="8"/>
          <w:lang w:eastAsia="zh-CN"/>
        </w:rPr>
        <w:t>学生工作部（</w:t>
      </w:r>
      <w:r>
        <w:rPr>
          <w:rFonts w:hint="eastAsia"/>
          <w:spacing w:val="8"/>
          <w:lang w:eastAsia="zh-CN"/>
        </w:rPr>
        <w:t>学生</w:t>
      </w:r>
      <w:r>
        <w:rPr>
          <w:spacing w:val="8"/>
          <w:lang w:eastAsia="zh-CN"/>
        </w:rPr>
        <w:t>处）对各学院</w:t>
      </w:r>
      <w:r>
        <w:rPr>
          <w:rFonts w:hint="eastAsia"/>
          <w:spacing w:val="8"/>
          <w:lang w:eastAsia="zh-CN"/>
        </w:rPr>
        <w:t>（学部）</w:t>
      </w:r>
      <w:r>
        <w:rPr>
          <w:spacing w:val="8"/>
          <w:lang w:eastAsia="zh-CN"/>
        </w:rPr>
        <w:t>上报的评比</w:t>
      </w:r>
      <w:r>
        <w:rPr>
          <w:lang w:eastAsia="zh-CN"/>
        </w:rPr>
        <w:drawing>
          <wp:anchor distT="0" distB="0" distL="114300" distR="114300" simplePos="0" relativeHeight="251660288" behindDoc="0" locked="0" layoutInCell="0" allowOverlap="1">
            <wp:simplePos x="0" y="0"/>
            <wp:positionH relativeFrom="page">
              <wp:posOffset>-3175</wp:posOffset>
            </wp:positionH>
            <wp:positionV relativeFrom="page">
              <wp:posOffset>-3175</wp:posOffset>
            </wp:positionV>
            <wp:extent cx="6350" cy="6350"/>
            <wp:effectExtent l="0" t="0" r="0" b="0"/>
            <wp:wrapNone/>
            <wp:docPr id="2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1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pacing w:val="9"/>
          <w:lang w:eastAsia="zh-CN"/>
        </w:rPr>
        <w:t>结果进行资格审查，并报校评审委员会审定，确定名单，最</w:t>
      </w:r>
      <w:r>
        <w:rPr>
          <w:spacing w:val="7"/>
          <w:lang w:eastAsia="zh-CN"/>
        </w:rPr>
        <w:t>后由学校发文公布评比结果。</w:t>
      </w:r>
    </w:p>
    <w:p w14:paraId="756BAC4A">
      <w:pPr>
        <w:pStyle w:val="3"/>
        <w:spacing w:line="560" w:lineRule="exact"/>
        <w:ind w:firstLine="648" w:firstLineChars="200"/>
        <w:rPr>
          <w:spacing w:val="7"/>
          <w:lang w:eastAsia="zh-CN"/>
        </w:rPr>
      </w:pPr>
    </w:p>
    <w:p w14:paraId="552EB792">
      <w:pPr>
        <w:spacing w:line="560" w:lineRule="exact"/>
        <w:ind w:firstLine="640" w:firstLineChars="200"/>
        <w:jc w:val="center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</w:rPr>
        <w:t>第三章</w:t>
      </w:r>
      <w:r>
        <w:rPr>
          <w:rFonts w:hint="eastAsia" w:ascii="黑体" w:hAnsi="黑体" w:eastAsia="黑体" w:cs="黑体"/>
          <w:spacing w:val="0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</w:rPr>
        <w:t>表彰和奖励</w:t>
      </w:r>
    </w:p>
    <w:p w14:paraId="67053AAE">
      <w:pPr>
        <w:pStyle w:val="3"/>
        <w:spacing w:before="157" w:beforeLines="50" w:line="560" w:lineRule="exact"/>
        <w:ind w:left="0" w:right="476" w:firstLine="658"/>
        <w:rPr>
          <w:lang w:eastAsia="zh-CN"/>
        </w:rPr>
      </w:pPr>
      <w:r>
        <w:rPr>
          <w:b/>
          <w:bCs/>
          <w:spacing w:val="3"/>
          <w:lang w:eastAsia="zh-CN"/>
        </w:rPr>
        <w:t>第十</w:t>
      </w:r>
      <w:r>
        <w:rPr>
          <w:rFonts w:hint="eastAsia"/>
          <w:b/>
          <w:bCs/>
          <w:spacing w:val="3"/>
          <w:lang w:eastAsia="zh-CN"/>
        </w:rPr>
        <w:t>二</w:t>
      </w:r>
      <w:r>
        <w:rPr>
          <w:b/>
          <w:bCs/>
          <w:spacing w:val="3"/>
          <w:lang w:eastAsia="zh-CN"/>
        </w:rPr>
        <w:t>条</w:t>
      </w:r>
      <w:r>
        <w:rPr>
          <w:spacing w:val="50"/>
          <w:lang w:eastAsia="zh-CN"/>
        </w:rPr>
        <w:t xml:space="preserve"> </w:t>
      </w:r>
      <w:r>
        <w:rPr>
          <w:spacing w:val="3"/>
          <w:lang w:eastAsia="zh-CN"/>
        </w:rPr>
        <w:t>学校对优良学风集体及先进个人颁发证书、奖</w:t>
      </w:r>
      <w:r>
        <w:rPr>
          <w:spacing w:val="12"/>
          <w:lang w:eastAsia="zh-CN"/>
        </w:rPr>
        <w:t>金予以鼓励，优良学风集体的奖金主要用于班级学风建</w:t>
      </w:r>
      <w:r>
        <w:rPr>
          <w:spacing w:val="11"/>
          <w:lang w:eastAsia="zh-CN"/>
        </w:rPr>
        <w:t>设。</w:t>
      </w:r>
    </w:p>
    <w:p w14:paraId="4E38622E">
      <w:pPr>
        <w:pStyle w:val="3"/>
        <w:spacing w:before="157" w:beforeLines="50" w:line="560" w:lineRule="exact"/>
        <w:ind w:firstLine="678" w:firstLineChars="200"/>
        <w:rPr>
          <w:spacing w:val="7"/>
          <w:lang w:eastAsia="zh-CN"/>
        </w:rPr>
      </w:pPr>
      <w:r>
        <w:rPr>
          <w:b/>
          <w:bCs/>
          <w:spacing w:val="14"/>
          <w:lang w:eastAsia="zh-CN"/>
        </w:rPr>
        <w:t>第十</w:t>
      </w:r>
      <w:r>
        <w:rPr>
          <w:rFonts w:hint="eastAsia"/>
          <w:b/>
          <w:bCs/>
          <w:spacing w:val="14"/>
          <w:lang w:eastAsia="zh-CN"/>
        </w:rPr>
        <w:t>三</w:t>
      </w:r>
      <w:r>
        <w:rPr>
          <w:b/>
          <w:bCs/>
          <w:spacing w:val="14"/>
          <w:lang w:eastAsia="zh-CN"/>
        </w:rPr>
        <w:t>条</w:t>
      </w:r>
      <w:r>
        <w:rPr>
          <w:spacing w:val="14"/>
          <w:lang w:eastAsia="zh-CN"/>
        </w:rPr>
        <w:t xml:space="preserve"> </w:t>
      </w:r>
      <w:r>
        <w:rPr>
          <w:rFonts w:hint="eastAsia"/>
          <w:spacing w:val="14"/>
          <w:lang w:eastAsia="zh-CN"/>
        </w:rPr>
        <w:t>优良</w:t>
      </w:r>
      <w:r>
        <w:rPr>
          <w:spacing w:val="14"/>
          <w:lang w:eastAsia="zh-CN"/>
        </w:rPr>
        <w:t>学风集体的评选结果将作为班级申报各</w:t>
      </w:r>
      <w:r>
        <w:rPr>
          <w:spacing w:val="12"/>
          <w:lang w:eastAsia="zh-CN"/>
        </w:rPr>
        <w:t>级各类先进集体的基本依据和重要参考指标之一；</w:t>
      </w:r>
      <w:r>
        <w:rPr>
          <w:rFonts w:hint="eastAsia"/>
          <w:spacing w:val="12"/>
          <w:lang w:eastAsia="zh-CN"/>
        </w:rPr>
        <w:t>优良</w:t>
      </w:r>
      <w:r>
        <w:rPr>
          <w:spacing w:val="12"/>
          <w:lang w:eastAsia="zh-CN"/>
        </w:rPr>
        <w:t>学风个人将作为各级各类学生评先、评优及各类奖学金评定</w:t>
      </w:r>
      <w:r>
        <w:rPr>
          <w:spacing w:val="7"/>
          <w:lang w:eastAsia="zh-CN"/>
        </w:rPr>
        <w:t>的重要参考指标之一。</w:t>
      </w:r>
    </w:p>
    <w:p w14:paraId="7C9C2934">
      <w:pPr>
        <w:pStyle w:val="3"/>
        <w:spacing w:line="560" w:lineRule="exact"/>
        <w:ind w:firstLine="648" w:firstLineChars="200"/>
        <w:rPr>
          <w:spacing w:val="7"/>
          <w:lang w:eastAsia="zh-CN"/>
        </w:rPr>
      </w:pPr>
    </w:p>
    <w:p w14:paraId="45D3F4B7">
      <w:pPr>
        <w:spacing w:before="0" w:line="560" w:lineRule="exact"/>
        <w:ind w:firstLine="640" w:firstLineChars="200"/>
        <w:jc w:val="center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</w:rPr>
        <w:t>第四章</w:t>
      </w:r>
      <w:r>
        <w:rPr>
          <w:rFonts w:hint="eastAsia" w:ascii="黑体" w:hAnsi="黑体" w:eastAsia="黑体" w:cs="黑体"/>
          <w:spacing w:val="0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</w:rPr>
        <w:t>附则</w:t>
      </w:r>
    </w:p>
    <w:p w14:paraId="5F546E45">
      <w:pPr>
        <w:pStyle w:val="3"/>
        <w:spacing w:before="255" w:line="560" w:lineRule="exact"/>
        <w:ind w:right="476" w:firstLine="659"/>
        <w:rPr>
          <w:spacing w:val="1"/>
          <w:lang w:eastAsia="zh-CN"/>
        </w:rPr>
      </w:pPr>
      <w:r>
        <w:rPr>
          <w:b/>
          <w:bCs/>
          <w:spacing w:val="5"/>
          <w:lang w:eastAsia="zh-CN"/>
        </w:rPr>
        <w:t>第十</w:t>
      </w:r>
      <w:r>
        <w:rPr>
          <w:rFonts w:hint="eastAsia"/>
          <w:b/>
          <w:bCs/>
          <w:spacing w:val="5"/>
          <w:lang w:eastAsia="zh-CN"/>
        </w:rPr>
        <w:t>四</w:t>
      </w:r>
      <w:r>
        <w:rPr>
          <w:b/>
          <w:bCs/>
          <w:spacing w:val="5"/>
          <w:lang w:eastAsia="zh-CN"/>
        </w:rPr>
        <w:t>条</w:t>
      </w:r>
      <w:r>
        <w:rPr>
          <w:spacing w:val="5"/>
          <w:lang w:eastAsia="zh-CN"/>
        </w:rPr>
        <w:t xml:space="preserve"> 本办法自公布之日起实施，原《上海电</w:t>
      </w:r>
      <w:r>
        <w:rPr>
          <w:spacing w:val="4"/>
          <w:lang w:eastAsia="zh-CN"/>
        </w:rPr>
        <w:t>力大学</w:t>
      </w:r>
      <w:r>
        <w:rPr>
          <w:spacing w:val="1"/>
          <w:lang w:eastAsia="zh-CN"/>
        </w:rPr>
        <w:t>优良学风集体及个人评选办法》</w:t>
      </w:r>
      <w:r>
        <w:rPr>
          <w:rFonts w:hint="eastAsia"/>
          <w:spacing w:val="1"/>
          <w:lang w:eastAsia="zh-CN"/>
        </w:rPr>
        <w:t>（</w:t>
      </w:r>
      <w:r>
        <w:rPr>
          <w:rFonts w:hint="eastAsia"/>
          <w:spacing w:val="1"/>
          <w:u w:val="none"/>
          <w:lang w:eastAsia="zh-CN"/>
        </w:rPr>
        <w:t>上电学〔2021〕85 号）</w:t>
      </w:r>
      <w:r>
        <w:rPr>
          <w:spacing w:val="1"/>
          <w:lang w:eastAsia="zh-CN"/>
        </w:rPr>
        <w:t>即</w:t>
      </w:r>
      <w:r>
        <w:rPr>
          <w:spacing w:val="-82"/>
          <w:lang w:eastAsia="zh-CN"/>
        </w:rPr>
        <w:t xml:space="preserve"> </w:t>
      </w:r>
      <w:r>
        <w:rPr>
          <w:spacing w:val="1"/>
          <w:lang w:eastAsia="zh-CN"/>
        </w:rPr>
        <w:t>日起废止。本办法由</w:t>
      </w:r>
      <w:r>
        <w:rPr>
          <w:rFonts w:hint="eastAsia"/>
          <w:spacing w:val="1"/>
          <w:lang w:val="en-US" w:eastAsia="zh-CN"/>
        </w:rPr>
        <w:t>党委学生工作部（学生处）</w:t>
      </w:r>
      <w:r>
        <w:rPr>
          <w:spacing w:val="1"/>
          <w:lang w:eastAsia="zh-CN"/>
        </w:rPr>
        <w:t>负责解释。</w:t>
      </w:r>
    </w:p>
    <w:p w14:paraId="2E364882">
      <w:pPr>
        <w:pStyle w:val="3"/>
        <w:spacing w:before="0" w:line="560" w:lineRule="exact"/>
        <w:ind w:right="0" w:firstLine="676" w:firstLineChars="200"/>
        <w:rPr>
          <w:b/>
          <w:bCs/>
          <w:spacing w:val="5"/>
          <w:lang w:eastAsia="zh-CN"/>
        </w:rPr>
      </w:pPr>
      <w:r>
        <w:rPr>
          <w:rFonts w:hint="eastAsia"/>
          <w:b w:val="0"/>
          <w:bCs w:val="0"/>
          <w:spacing w:val="14"/>
          <w:lang w:eastAsia="zh-CN"/>
        </w:rPr>
        <w:t>附件：《上海电力大学班级学风评估指标体系》</w:t>
      </w:r>
    </w:p>
    <w:p w14:paraId="2D9FA27F">
      <w:pPr>
        <w:pStyle w:val="3"/>
        <w:spacing w:before="0" w:line="560" w:lineRule="exact"/>
        <w:ind w:right="0" w:firstLine="668" w:firstLineChars="200"/>
        <w:jc w:val="right"/>
        <w:rPr>
          <w:spacing w:val="12"/>
          <w:lang w:eastAsia="zh-CN"/>
        </w:rPr>
      </w:pPr>
    </w:p>
    <w:p w14:paraId="18357838">
      <w:pPr>
        <w:pStyle w:val="3"/>
        <w:spacing w:before="0" w:line="560" w:lineRule="exact"/>
        <w:ind w:right="0" w:firstLine="668" w:firstLineChars="200"/>
        <w:jc w:val="right"/>
        <w:rPr>
          <w:b w:val="0"/>
          <w:bCs w:val="0"/>
          <w:spacing w:val="12"/>
          <w:sz w:val="31"/>
          <w:szCs w:val="31"/>
          <w:lang w:eastAsia="zh-CN"/>
        </w:rPr>
      </w:pPr>
      <w:r>
        <w:rPr>
          <w:rFonts w:hint="eastAsia"/>
          <w:b w:val="0"/>
          <w:bCs w:val="0"/>
          <w:spacing w:val="12"/>
          <w:lang w:eastAsia="zh-CN"/>
        </w:rPr>
        <w:t>上海电力大学</w:t>
      </w:r>
    </w:p>
    <w:p w14:paraId="69EB45C1">
      <w:pPr>
        <w:pStyle w:val="3"/>
        <w:spacing w:before="0" w:line="560" w:lineRule="exact"/>
        <w:ind w:right="0" w:firstLine="668" w:firstLineChars="200"/>
        <w:jc w:val="right"/>
        <w:rPr>
          <w:spacing w:val="12"/>
          <w:lang w:eastAsia="zh-CN"/>
        </w:rPr>
      </w:pPr>
      <w:r>
        <w:rPr>
          <w:b w:val="0"/>
          <w:bCs w:val="0"/>
          <w:spacing w:val="12"/>
          <w:sz w:val="31"/>
          <w:szCs w:val="31"/>
          <w:lang w:eastAsia="zh-CN"/>
        </w:rPr>
        <w:t>2026</w:t>
      </w:r>
      <w:r>
        <w:rPr>
          <w:rFonts w:hint="eastAsia"/>
          <w:b w:val="0"/>
          <w:bCs w:val="0"/>
          <w:spacing w:val="12"/>
          <w:lang w:eastAsia="zh-CN"/>
        </w:rPr>
        <w:t>年</w:t>
      </w:r>
      <w:r>
        <w:rPr>
          <w:b w:val="0"/>
          <w:bCs w:val="0"/>
          <w:spacing w:val="12"/>
          <w:lang w:eastAsia="zh-CN"/>
        </w:rPr>
        <w:t>6</w:t>
      </w:r>
      <w:r>
        <w:rPr>
          <w:rFonts w:hint="eastAsia"/>
          <w:b w:val="0"/>
          <w:bCs w:val="0"/>
          <w:spacing w:val="12"/>
          <w:lang w:eastAsia="zh-CN"/>
        </w:rPr>
        <w:t>月</w:t>
      </w:r>
      <w:r>
        <w:rPr>
          <w:b w:val="0"/>
          <w:bCs w:val="0"/>
          <w:spacing w:val="12"/>
          <w:lang w:eastAsia="zh-CN"/>
        </w:rPr>
        <w:t>18</w:t>
      </w:r>
      <w:r>
        <w:rPr>
          <w:rFonts w:hint="eastAsia"/>
          <w:b w:val="0"/>
          <w:bCs w:val="0"/>
          <w:spacing w:val="12"/>
          <w:lang w:eastAsia="zh-CN"/>
        </w:rPr>
        <w:t>日</w:t>
      </w:r>
    </w:p>
    <w:p w14:paraId="78733FDF">
      <w:pPr>
        <w:pStyle w:val="3"/>
        <w:spacing w:before="0" w:line="240" w:lineRule="auto"/>
        <w:ind w:right="0" w:firstLine="0" w:firstLineChars="0"/>
        <w:jc w:val="both"/>
        <w:rPr>
          <w:b w:val="0"/>
          <w:bCs w:val="0"/>
          <w:spacing w:val="12"/>
          <w:lang w:eastAsia="zh-CN"/>
        </w:rPr>
      </w:pPr>
    </w:p>
    <w:p w14:paraId="11905308">
      <w:pPr>
        <w:pStyle w:val="3"/>
        <w:spacing w:before="0" w:line="240" w:lineRule="auto"/>
        <w:ind w:right="0" w:firstLine="0" w:firstLineChars="0"/>
        <w:jc w:val="both"/>
        <w:rPr>
          <w:b w:val="0"/>
          <w:bCs w:val="0"/>
          <w:spacing w:val="12"/>
          <w:lang w:eastAsia="zh-CN"/>
        </w:rPr>
      </w:pPr>
    </w:p>
    <w:p w14:paraId="2A89F0EF">
      <w:pPr>
        <w:pStyle w:val="3"/>
        <w:spacing w:before="0" w:line="240" w:lineRule="auto"/>
        <w:ind w:right="0" w:firstLine="0" w:firstLineChars="0"/>
        <w:jc w:val="both"/>
        <w:rPr>
          <w:b w:val="0"/>
          <w:bCs w:val="0"/>
          <w:spacing w:val="12"/>
          <w:lang w:eastAsia="zh-CN"/>
        </w:rPr>
      </w:pPr>
    </w:p>
    <w:p w14:paraId="0ECF41C1">
      <w:pPr>
        <w:pStyle w:val="3"/>
        <w:spacing w:before="0" w:line="240" w:lineRule="auto"/>
        <w:ind w:right="0" w:firstLine="0" w:firstLineChars="0"/>
        <w:jc w:val="both"/>
        <w:rPr>
          <w:b w:val="0"/>
          <w:bCs w:val="0"/>
          <w:spacing w:val="12"/>
          <w:lang w:eastAsia="zh-CN"/>
        </w:rPr>
      </w:pPr>
    </w:p>
    <w:p w14:paraId="3E20AA7A">
      <w:pPr>
        <w:pStyle w:val="3"/>
        <w:spacing w:before="0" w:line="240" w:lineRule="auto"/>
        <w:ind w:right="0" w:firstLine="0" w:firstLineChars="0"/>
        <w:jc w:val="both"/>
        <w:rPr>
          <w:b w:val="0"/>
          <w:bCs w:val="0"/>
          <w:spacing w:val="12"/>
          <w:lang w:eastAsia="zh-CN"/>
        </w:rPr>
      </w:pPr>
    </w:p>
    <w:p w14:paraId="448B7624">
      <w:pPr>
        <w:pStyle w:val="3"/>
        <w:spacing w:before="0" w:line="240" w:lineRule="auto"/>
        <w:ind w:right="0" w:firstLine="0" w:firstLineChars="0"/>
        <w:jc w:val="both"/>
        <w:rPr>
          <w:b w:val="0"/>
          <w:bCs w:val="0"/>
          <w:spacing w:val="12"/>
          <w:lang w:eastAsia="zh-CN"/>
        </w:rPr>
      </w:pPr>
    </w:p>
    <w:p w14:paraId="2DA8AB02">
      <w:pPr>
        <w:pStyle w:val="3"/>
        <w:spacing w:before="0" w:line="240" w:lineRule="auto"/>
        <w:ind w:right="0" w:firstLine="0" w:firstLineChars="0"/>
        <w:jc w:val="both"/>
        <w:rPr>
          <w:b w:val="0"/>
          <w:bCs w:val="0"/>
          <w:spacing w:val="12"/>
          <w:lang w:eastAsia="zh-CN"/>
        </w:rPr>
      </w:pPr>
    </w:p>
    <w:p w14:paraId="05F6E6E3">
      <w:pPr>
        <w:pStyle w:val="3"/>
        <w:spacing w:before="0" w:line="240" w:lineRule="auto"/>
        <w:ind w:right="0" w:firstLine="0" w:firstLineChars="0"/>
        <w:jc w:val="both"/>
        <w:rPr>
          <w:b w:val="0"/>
          <w:bCs w:val="0"/>
          <w:spacing w:val="12"/>
          <w:lang w:eastAsia="zh-CN"/>
        </w:rPr>
      </w:pPr>
    </w:p>
    <w:p w14:paraId="3F5DCD2E">
      <w:pPr>
        <w:pStyle w:val="3"/>
        <w:spacing w:before="0" w:line="240" w:lineRule="auto"/>
        <w:ind w:right="0" w:firstLine="0" w:firstLineChars="0"/>
        <w:jc w:val="both"/>
        <w:rPr>
          <w:b w:val="0"/>
          <w:bCs w:val="0"/>
          <w:spacing w:val="12"/>
          <w:lang w:eastAsia="zh-CN"/>
        </w:rPr>
      </w:pPr>
    </w:p>
    <w:p w14:paraId="428BEE64">
      <w:pPr>
        <w:spacing w:line="560" w:lineRule="exact"/>
        <w:jc w:val="left"/>
        <w:rPr>
          <w:rFonts w:ascii="仿宋_GB2312" w:hAnsi="Calibri" w:eastAsia="仿宋_GB2312" w:cs="Times New Roman"/>
          <w:sz w:val="32"/>
          <w:szCs w:val="32"/>
        </w:rPr>
      </w:pPr>
      <w:r>
        <w:rPr>
          <w:rFonts w:hint="eastAsia" w:ascii="仿宋_GB2312" w:hAnsi="Calibri" w:eastAsia="仿宋_GB2312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34925</wp:posOffset>
                </wp:positionV>
                <wp:extent cx="5615940" cy="0"/>
                <wp:effectExtent l="0" t="4445" r="0" b="5080"/>
                <wp:wrapNone/>
                <wp:docPr id="5" name="直接箭头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0"/>
                        </a:xfrm>
                        <a:prstGeom prst="straightConnector1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.65pt;margin-top:2.75pt;height:0pt;width:442.2pt;z-index:251664384;mso-width-relative:page;mso-height-relative:page;" filled="f" stroked="t" coordsize="21600,21600" o:gfxdata="UEsDBAoAAAAAAIdO4kAAAAAAAAAAAAAAAAAEAAAAZHJzL1BLAwQUAAAACACHTuJAZZLj6NQAAAAF&#10;AQAADwAAAGRycy9kb3ducmV2LnhtbE2OTU/DMBBE70j9D9ZW4kadtiqNQpwe2iJxqqAgELdtvMQR&#10;8TqKnQ/+PYYLHEczevPy3WQbMVDna8cKlosEBHHpdM2Vgpfn+5sUhA/IGhvHpOCLPOyK2VWOmXYj&#10;P9FwDpWIEPYZKjAhtJmUvjRk0S9cSxy7D9dZDDF2ldQdjhFuG7lKkltpseb4YLClvaHy89xbBRYf&#10;XL8y++H0Oh0e9fjO5en4ptT1fJncgQg0hb8x/OhHdSii08X1rL1oFKzXcahgswER2zTdbkFcfrMs&#10;cvnfvvgGUEsDBBQAAAAIAIdO4kCh49BOAQIAAPoDAAAOAAAAZHJzL2Uyb0RvYy54bWytU82O0zAQ&#10;viPxDpbvNO1CK4ia7qFluSCoBDzA1HESS/6Tx9u0L8ELIHECTrCnvfM0sDwGY6dbluXSAzk4Mx7P&#10;N/N9Hs/Pd0azrQyonK34ZDTmTFrhamXbir97e/HoKWcYwdagnZUV30vk54uHD+a9L+WZ65yuZWAE&#10;YrHsfcW7GH1ZFCg6aQBHzktLwcYFA5Hc0BZ1gJ7QjS7OxuNZ0btQ++CERKTd1RDkB8RwCqBrGiXk&#10;yolLI20cUIPUEIkSdsojX+Rum0aK+LppUEamK05MY16pCNmbtBaLOZRtAN8pcWgBTmnhHicDylLR&#10;I9QKIrDLoP6BMkoEh66JI+FMMRDJihCLyfieNm868DJzIanRH0XH/wcrXm3Xgam64lPOLBi68JsP&#10;1z/ff765+vbj0/Wv7x+T/fULmyapeo8lZSztOhw89OuQeO+aYNKfGLFdlnd/lFfuIhO0OZ1Nps+e&#10;kPLiNlb8SfQB4wvpDEtGxTEGUG0Xl85aukQXJlle2L7ESKUp8TYhVdWW9RWfPZ4mcKChbGgYyDSe&#10;iKFtcy46reoLpXXKwNBuljqwLaTByF8iSLh/HUtFVoDdcC6HhpHpJNTPbc3i3pNkll4KTy0YWXOm&#10;JT2sZBEglBGUPuUkldY2Jcg8tgeeSfFB42RtXL3P0hfJo5HIHR/GN83cXZ/su0928R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lkuPo1AAAAAUBAAAPAAAAAAAAAAEAIAAAACIAAABkcnMvZG93bnJl&#10;di54bWxQSwECFAAUAAAACACHTuJAoePQTgECAAD6AwAADgAAAAAAAAABACAAAAAjAQAAZHJzL2Uy&#10;b0RvYy54bWxQSwUGAAAAAAYABgBZAQAAlgUAAAAA&#10;">
                <v:fill on="f" focussize="0,0"/>
                <v:stroke weight="0.5pt"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_GB2312" w:hAnsi="Calibri" w:eastAsia="仿宋_GB2312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358775</wp:posOffset>
                </wp:positionV>
                <wp:extent cx="5615940" cy="9525"/>
                <wp:effectExtent l="0" t="0" r="0" b="0"/>
                <wp:wrapNone/>
                <wp:docPr id="7" name="直接箭头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9525"/>
                        </a:xfrm>
                        <a:prstGeom prst="straightConnector1">
                          <a:avLst/>
                        </a:prstGeom>
                        <a:ln w="31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.65pt;margin-top:28.25pt;height:0.75pt;width:442.2pt;z-index:251663360;mso-width-relative:page;mso-height-relative:page;" filled="f" stroked="t" coordsize="21600,21600" o:gfxdata="UEsDBAoAAAAAAIdO4kAAAAAAAAAAAAAAAAAEAAAAZHJzL1BLAwQUAAAACACHTuJAdB2SitUAAAAH&#10;AQAADwAAAGRycy9kb3ducmV2LnhtbE2OTW7CMBCF95W4gzWVuis2jQJRGgcJ1KpiGcIBTDzEUeJx&#10;FDtAOX3dVbt8P3rvK7Z3O7ArTr5zJGG1FMCQGqc7aiWc6s/XDJgPirQaHKGEb/SwLRdPhcq1u1GF&#10;12NoWRwhnysJJoQx59w3Bq3ySzcixeziJqtClFPL9aRucdwO/E2INbeqo/hg1Ih7g01/nK2EPnlU&#10;h94cPh5+V/NTWlczfe2kfHleiXdgAe/hrwy/+BEdysh0djNpzwYJSRKLEtJ1CizGWbbZADtHIxPA&#10;y4L/5y9/AFBLAwQUAAAACACHTuJAdSa/EwQCAAD9AwAADgAAAGRycy9lMm9Eb2MueG1srVPNjtMw&#10;EL4j8Q6W7zRtoVs2arqHluWCoBLwAK7tJJb8J4+3aV+CF0DiBJxYTnvnaWB5DMZOKMty6YEcnBl7&#10;5pv5Po8XF3ujyU4GUM5WdDIaUyItd0LZpqJv31w+ekoJRGYF087Kih4k0IvlwweLzpdy6lqnhQwE&#10;QSyUna9oG6MviwJ4Kw2DkfPS4mHtgmER3dAUIrAO0Y0upuPxWdG5IHxwXALg7ro/pANiOAXQ1bXi&#10;cu34lZE29qhBahaRErTKA13mbuta8viqrkFGoiuKTGNesQja27QWywUrm8B8q/jQAjulhXucDFMW&#10;ix6h1iwychXUP1BG8eDA1XHEnSl6IlkRZDEZ39Pmdcu8zFxQavBH0eH/wfKXu00gSlR0TollBi/8&#10;9v3Nj3efbr9ef/948/Pbh2R/+UzmSarOQ4kZK7sJgwd+ExLvfR1M+iMjss/yHo7yyn0kHDdnZ5PZ&#10;+RNUnuPZ+Ww6S5DFn1wfID6XzpBkVBRiYKpp48pZi/fowiQrzHYvIPaJvxNSYW1JV9HHk/kM8RnO&#10;ZY3zgKbxyA1sk3PBaSUuldYpA0KzXelAdizNRv6Ghv4KS0XWDNo+Lh+lMFa2kolnVpB48KiaxcdC&#10;UwtGCkq0xLeVrBwZmdKnRKIW2iZomSd34JlE72VO1taJQ1a/SB5ORZZwmOA0dnd9tO++2uU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dB2SitUAAAAHAQAADwAAAAAAAAABACAAAAAiAAAAZHJzL2Rv&#10;d25yZXYueG1sUEsBAhQAFAAAAAgAh07iQHUmvxMEAgAA/QMAAA4AAAAAAAAAAQAgAAAAJAEAAGRy&#10;cy9lMm9Eb2MueG1sUEsFBgAAAAAGAAYAWQEAAJoFAAAAAA==&#10;">
                <v:fill on="f" focussize="0,0"/>
                <v:stroke weight="0.25pt"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_GB2312" w:hAnsi="Calibri" w:eastAsia="仿宋_GB2312" w:cs="Times New Roman"/>
          <w:sz w:val="32"/>
          <w:szCs w:val="32"/>
        </w:rPr>
        <w:t>抄送：</w:t>
      </w:r>
      <w:r>
        <w:rPr>
          <w:rFonts w:hint="eastAsia" w:ascii="仿宋_GB2312" w:eastAsia="仿宋_GB2312" w:cs="Times New Roman"/>
          <w:sz w:val="32"/>
          <w:szCs w:val="32"/>
        </w:rPr>
        <w:t>各学院（学部）。</w:t>
      </w:r>
    </w:p>
    <w:p w14:paraId="044815E6">
      <w:pPr>
        <w:spacing w:line="560" w:lineRule="exact"/>
        <w:jc w:val="left"/>
        <w:rPr>
          <w:rFonts w:ascii="方正公文小标宋" w:hAnsi="方正公文小标宋" w:eastAsia="方正公文小标宋" w:cs="方正公文小标宋"/>
          <w:sz w:val="44"/>
          <w:szCs w:val="44"/>
        </w:rPr>
      </w:pPr>
      <w:r>
        <w:rPr>
          <w:rFonts w:ascii="仿宋_GB2312" w:hAnsi="Calibri" w:eastAsia="仿宋_GB2312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10795</wp:posOffset>
                </wp:positionH>
                <wp:positionV relativeFrom="paragraph">
                  <wp:posOffset>375920</wp:posOffset>
                </wp:positionV>
                <wp:extent cx="5615940" cy="19050"/>
                <wp:effectExtent l="0" t="4445" r="3810" b="5080"/>
                <wp:wrapNone/>
                <wp:docPr id="4" name="直接箭头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190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0.85pt;margin-top:29.6pt;height:1.5pt;width:442.2pt;z-index:251662336;mso-width-relative:page;mso-height-relative:page;" filled="f" stroked="t" coordsize="21600,21600" o:gfxdata="UEsDBAoAAAAAAIdO4kAAAAAAAAAAAAAAAAAEAAAAZHJzL1BLAwQUAAAACACHTuJAVOJ/X9UAAAAH&#10;AQAADwAAAGRycy9kb3ducmV2LnhtbE2OwU7DMBBE70j8g7VIXBC1Y6khDXEqhMSBI20lrm68JIF4&#10;HcVOU/r1LCc4jmb05lXbsx/ECafYBzKQrRQIpCa4nloDh/3LfQEiJkvODoHQwDdG2NbXV5UtXVjo&#10;DU+71AqGUCytgS6lsZQyNh16G1dhROLuI0zeJo5TK91kF4b7QWqlcultT/zQ2RGfO2y+drM3gHFe&#10;Z+pp49vD62W5e9eXz2XcG3N7k6lHEAnP6W8Mv/qsDjU7HcNMLoqB8wMPDaw3GgTXRZFnII4Gcq1B&#10;1pX871//AFBLAwQUAAAACACHTuJAF1UOVgcCAAD+AwAADgAAAGRycy9lMm9Eb2MueG1srVPNjtMw&#10;EL4j8Q6W7zRt1a5o1HQPLcsFQSXgAVzbSSz5Tx5v074EL4DECTgBp73v08DyGIydUJbl0gM5ODMe&#10;zzfzfR4vLw9Gk70MoJyt6GQ0pkRa7oSyTUXfvrl68pQSiMwKpp2VFT1KoJerx4+WnS/l1LVOCxkI&#10;glgoO1/RNkZfFgXwVhoGI+elxWDtgmER3dAUIrAO0Y0upuPxRdG5IHxwXALg7qYP0gExnAPo6lpx&#10;uXH82kgbe9QgNYtICVrlga5yt3UteXxV1yAj0RVFpjGvWATtXVqL1ZKVTWC+VXxogZ3TwgNOhimL&#10;RU9QGxYZuQ7qHyijeHDg6jjizhQ9kawIspiMH2jzumVeZi4oNfiT6PD/YPnL/TYQJSo6o8Qygxd+&#10;9/7mx7tPd9++fv948/P2Q7K/fCazJFXnocSMtd2GwQO/DYn3oQ4m/ZEROWR5jyd55SESjpvzi8l8&#10;MUPlOcYmi/E8y1/8SfYB4nPpDElGRSEGppo2rp21eJEuTLLEbP8CIpbHxN8JqbK2pKvoYj6dYwGG&#10;g1njQKBpPJID2+RccFqJK6V1yoDQ7NY6kD1Lw5G/RBJx/zqWimwYtP25HOrHppVMPLOCxKNH2Sy+&#10;FppaMFJQoiU+rmQhICsjU/qck1ha25Qg8+gOPJPqvc7J2jlxzPIXycOxyB0PI5zm7r6P9v1nu/o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VOJ/X9UAAAAHAQAADwAAAAAAAAABACAAAAAiAAAAZHJz&#10;L2Rvd25yZXYueG1sUEsBAhQAFAAAAAgAh07iQBdVDlYHAgAA/gMAAA4AAAAAAAAAAQAgAAAAJAEA&#10;AGRycy9lMm9Eb2MueG1sUEsFBgAAAAAGAAYAWQEAAJ0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_GB2312" w:hAnsi="Calibri" w:eastAsia="仿宋_GB2312" w:cs="Times New Roman"/>
          <w:sz w:val="32"/>
          <w:szCs w:val="32"/>
        </w:rPr>
        <w:t xml:space="preserve">党委学生工作部（学生处）          </w:t>
      </w:r>
      <w:r>
        <w:rPr>
          <w:rFonts w:hint="default" w:ascii="仿宋" w:hAnsi="仿宋" w:eastAsia="仿宋" w:cs="仿宋"/>
          <w:spacing w:val="12"/>
          <w:sz w:val="31"/>
          <w:szCs w:val="31"/>
        </w:rPr>
        <w:t xml:space="preserve"> 2026年</w:t>
      </w:r>
      <w:r>
        <w:rPr>
          <w:rFonts w:hint="default" w:ascii="仿宋" w:hAnsi="仿宋" w:eastAsia="仿宋" w:cs="仿宋"/>
          <w:spacing w:val="12"/>
          <w:sz w:val="31"/>
          <w:szCs w:val="31"/>
          <w:lang w:val="en-US" w:eastAsia="zh-CN"/>
        </w:rPr>
        <w:t>6</w:t>
      </w:r>
      <w:r>
        <w:rPr>
          <w:rFonts w:hint="default" w:ascii="仿宋" w:hAnsi="仿宋" w:eastAsia="仿宋" w:cs="仿宋"/>
          <w:spacing w:val="12"/>
          <w:sz w:val="31"/>
          <w:szCs w:val="31"/>
        </w:rPr>
        <w:t>月</w:t>
      </w:r>
      <w:r>
        <w:rPr>
          <w:rFonts w:hint="default" w:ascii="仿宋" w:hAnsi="仿宋" w:eastAsia="仿宋" w:cs="仿宋"/>
          <w:spacing w:val="12"/>
          <w:sz w:val="31"/>
          <w:szCs w:val="31"/>
          <w:lang w:val="en-US" w:eastAsia="zh-CN"/>
        </w:rPr>
        <w:t>29</w:t>
      </w:r>
      <w:r>
        <w:rPr>
          <w:rFonts w:hint="default" w:ascii="仿宋" w:hAnsi="仿宋" w:eastAsia="仿宋" w:cs="仿宋"/>
          <w:spacing w:val="12"/>
          <w:sz w:val="31"/>
          <w:szCs w:val="31"/>
        </w:rPr>
        <w:t>日印发</w:t>
      </w:r>
    </w:p>
    <w:p w14:paraId="3F1AB298">
      <w:pPr>
        <w:spacing w:line="560" w:lineRule="exact"/>
        <w:jc w:val="center"/>
        <w:rPr>
          <w:rFonts w:hint="eastAsia" w:ascii="宋体" w:hAnsi="宋体" w:eastAsia="宋体" w:cs="Times New Roman"/>
          <w:bCs/>
          <w:sz w:val="44"/>
          <w:szCs w:val="44"/>
        </w:rPr>
      </w:pPr>
    </w:p>
    <w:p w14:paraId="4BAEB0A3">
      <w:pPr>
        <w:spacing w:line="560" w:lineRule="exact"/>
        <w:jc w:val="center"/>
        <w:rPr>
          <w:rFonts w:hint="eastAsia" w:ascii="宋体" w:hAnsi="宋体" w:eastAsia="宋体" w:cs="Times New Roman"/>
          <w:bCs/>
          <w:sz w:val="44"/>
          <w:szCs w:val="44"/>
        </w:rPr>
      </w:pPr>
    </w:p>
    <w:p w14:paraId="2EFA5B04">
      <w:pPr>
        <w:spacing w:line="560" w:lineRule="exact"/>
        <w:jc w:val="center"/>
        <w:rPr>
          <w:rFonts w:hint="eastAsia" w:ascii="宋体" w:hAnsi="宋体" w:eastAsia="宋体" w:cs="Times New Roman"/>
          <w:bCs/>
          <w:sz w:val="44"/>
          <w:szCs w:val="44"/>
        </w:rPr>
      </w:pPr>
    </w:p>
    <w:p w14:paraId="537956EF">
      <w:pPr>
        <w:spacing w:line="560" w:lineRule="exact"/>
        <w:jc w:val="center"/>
        <w:rPr>
          <w:rFonts w:hint="eastAsia" w:ascii="宋体" w:hAnsi="宋体" w:eastAsia="宋体" w:cs="Times New Roman"/>
          <w:bCs/>
          <w:sz w:val="44"/>
          <w:szCs w:val="44"/>
        </w:rPr>
      </w:pPr>
    </w:p>
    <w:p w14:paraId="53D3FB88">
      <w:pPr>
        <w:spacing w:line="560" w:lineRule="exact"/>
        <w:jc w:val="center"/>
        <w:rPr>
          <w:rFonts w:hint="eastAsia" w:ascii="宋体" w:hAnsi="宋体" w:eastAsia="宋体" w:cs="Times New Roman"/>
          <w:bCs/>
          <w:sz w:val="44"/>
          <w:szCs w:val="44"/>
        </w:rPr>
      </w:pPr>
    </w:p>
    <w:p w14:paraId="7C2B71A6">
      <w:pPr>
        <w:spacing w:line="560" w:lineRule="exact"/>
        <w:jc w:val="center"/>
        <w:rPr>
          <w:rFonts w:hint="eastAsia" w:ascii="宋体" w:hAnsi="宋体" w:eastAsia="宋体" w:cs="Times New Roman"/>
          <w:bCs/>
          <w:sz w:val="44"/>
          <w:szCs w:val="44"/>
        </w:rPr>
      </w:pPr>
    </w:p>
    <w:p w14:paraId="37A38971">
      <w:pPr>
        <w:spacing w:line="560" w:lineRule="exact"/>
        <w:jc w:val="center"/>
        <w:rPr>
          <w:rFonts w:hint="eastAsia" w:ascii="宋体" w:hAnsi="宋体" w:eastAsia="宋体" w:cs="Times New Roman"/>
          <w:bCs/>
          <w:sz w:val="44"/>
          <w:szCs w:val="44"/>
        </w:rPr>
      </w:pPr>
    </w:p>
    <w:p w14:paraId="743AC45B">
      <w:pPr>
        <w:spacing w:line="560" w:lineRule="exact"/>
        <w:jc w:val="both"/>
        <w:rPr>
          <w:rFonts w:hint="eastAsia" w:ascii="宋体" w:hAnsi="宋体" w:eastAsia="宋体" w:cs="Times New Roman"/>
          <w:bCs/>
          <w:sz w:val="44"/>
          <w:szCs w:val="44"/>
        </w:rPr>
      </w:pPr>
    </w:p>
    <w:p w14:paraId="27287EE9">
      <w:pPr>
        <w:spacing w:line="560" w:lineRule="exact"/>
        <w:jc w:val="center"/>
        <w:rPr>
          <w:rFonts w:hint="eastAsia" w:ascii="宋体" w:hAnsi="宋体" w:eastAsia="宋体" w:cs="Times New Roman"/>
          <w:bCs/>
          <w:sz w:val="44"/>
          <w:szCs w:val="44"/>
        </w:rPr>
      </w:pPr>
      <w:r>
        <w:rPr>
          <w:rFonts w:hint="eastAsia" w:ascii="宋体" w:hAnsi="宋体" w:eastAsia="宋体" w:cs="Times New Roman"/>
          <w:bCs/>
          <w:sz w:val="44"/>
          <w:szCs w:val="44"/>
        </w:rPr>
        <w:t>上海电力大学班级学风评估指标体系</w:t>
      </w:r>
    </w:p>
    <w:p w14:paraId="7B7F7CF7">
      <w:pPr>
        <w:spacing w:line="560" w:lineRule="exact"/>
        <w:jc w:val="center"/>
        <w:rPr>
          <w:rFonts w:hint="eastAsia" w:ascii="宋体" w:hAnsi="宋体" w:eastAsia="宋体" w:cs="Times New Roman"/>
          <w:bCs/>
          <w:sz w:val="44"/>
          <w:szCs w:val="44"/>
        </w:rPr>
      </w:pPr>
    </w:p>
    <w:p w14:paraId="2BBC05C1">
      <w:pPr>
        <w:widowControl/>
        <w:spacing w:line="560" w:lineRule="exact"/>
        <w:ind w:firstLine="0" w:firstLineChars="0"/>
        <w:jc w:val="left"/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</w:rPr>
        <w:t>一、评估总分构成</w:t>
      </w:r>
    </w:p>
    <w:p w14:paraId="29BF6037">
      <w:pPr>
        <w:widowControl/>
        <w:spacing w:line="560" w:lineRule="exact"/>
        <w:ind w:firstLine="640" w:firstLineChars="200"/>
        <w:jc w:val="left"/>
        <w:rPr>
          <w:rFonts w:hint="eastAsia" w:ascii="仿宋_GB2312" w:hAnsi="Calibri" w:eastAsia="仿宋_GB2312" w:cs="Times New Roman"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spacing w:val="0"/>
          <w:sz w:val="32"/>
          <w:szCs w:val="32"/>
        </w:rPr>
        <w:t>总分：</w:t>
      </w:r>
      <w:r>
        <w:rPr>
          <w:rFonts w:hint="eastAsia" w:ascii="仿宋_GB2312" w:hAnsi="Calibri" w:eastAsia="仿宋_GB2312" w:cs="Times New Roman"/>
          <w:spacing w:val="0"/>
          <w:sz w:val="32"/>
          <w:szCs w:val="32"/>
          <w:lang w:eastAsia="zh-CN"/>
        </w:rPr>
        <w:t>1</w:t>
      </w:r>
      <w:r>
        <w:rPr>
          <w:rFonts w:hint="eastAsia" w:ascii="仿宋_GB2312" w:hAnsi="Calibri" w:eastAsia="仿宋_GB2312" w:cs="Times New Roman"/>
          <w:spacing w:val="0"/>
          <w:sz w:val="32"/>
          <w:szCs w:val="32"/>
          <w:lang w:val="en-US" w:eastAsia="zh-CN"/>
        </w:rPr>
        <w:t>00</w:t>
      </w:r>
      <w:r>
        <w:rPr>
          <w:rFonts w:hint="eastAsia" w:ascii="仿宋_GB2312" w:hAnsi="Calibri" w:eastAsia="仿宋_GB2312" w:cs="Times New Roman"/>
          <w:spacing w:val="0"/>
          <w:sz w:val="32"/>
          <w:szCs w:val="32"/>
        </w:rPr>
        <w:t>分 + 附加分（最高</w:t>
      </w:r>
      <w:r>
        <w:rPr>
          <w:rFonts w:hint="eastAsia" w:ascii="仿宋_GB2312" w:hAnsi="Calibri" w:eastAsia="仿宋_GB2312" w:cs="Times New Roman"/>
          <w:spacing w:val="0"/>
          <w:sz w:val="32"/>
          <w:szCs w:val="32"/>
          <w:lang w:eastAsia="zh-CN"/>
        </w:rPr>
        <w:t>1</w:t>
      </w:r>
      <w:r>
        <w:rPr>
          <w:rFonts w:hint="eastAsia" w:ascii="仿宋_GB2312" w:hAnsi="Calibri" w:eastAsia="仿宋_GB2312" w:cs="Times New Roman"/>
          <w:spacing w:val="0"/>
          <w:sz w:val="32"/>
          <w:szCs w:val="32"/>
          <w:lang w:val="en-US" w:eastAsia="zh-CN"/>
        </w:rPr>
        <w:t>0</w:t>
      </w:r>
      <w:r>
        <w:rPr>
          <w:rFonts w:hint="eastAsia" w:ascii="仿宋_GB2312" w:hAnsi="Calibri" w:eastAsia="仿宋_GB2312" w:cs="Times New Roman"/>
          <w:spacing w:val="0"/>
          <w:sz w:val="32"/>
          <w:szCs w:val="32"/>
        </w:rPr>
        <w:t>分）</w:t>
      </w:r>
    </w:p>
    <w:p w14:paraId="2382C602">
      <w:pPr>
        <w:widowControl/>
        <w:spacing w:line="560" w:lineRule="exact"/>
        <w:ind w:firstLine="640" w:firstLineChars="200"/>
        <w:jc w:val="left"/>
        <w:rPr>
          <w:rFonts w:hint="eastAsia" w:ascii="仿宋_GB2312" w:hAnsi="Calibri" w:eastAsia="仿宋_GB2312" w:cs="Times New Roman"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spacing w:val="0"/>
          <w:sz w:val="32"/>
          <w:szCs w:val="32"/>
        </w:rPr>
        <w:t>分为</w:t>
      </w:r>
      <w:r>
        <w:rPr>
          <w:rFonts w:hint="eastAsia" w:ascii="仿宋_GB2312" w:hAnsi="Calibri" w:eastAsia="仿宋_GB2312" w:cs="Times New Roman"/>
          <w:b w:val="0"/>
          <w:bCs w:val="0"/>
          <w:spacing w:val="0"/>
          <w:sz w:val="32"/>
          <w:szCs w:val="32"/>
        </w:rPr>
        <w:t>班级建设维度</w:t>
      </w:r>
      <w:r>
        <w:rPr>
          <w:rFonts w:hint="eastAsia" w:ascii="仿宋_GB2312" w:hAnsi="Calibri" w:eastAsia="仿宋_GB2312" w:cs="Times New Roman"/>
          <w:spacing w:val="0"/>
          <w:sz w:val="32"/>
          <w:szCs w:val="32"/>
        </w:rPr>
        <w:t>、</w:t>
      </w:r>
      <w:r>
        <w:rPr>
          <w:rFonts w:hint="eastAsia" w:ascii="仿宋_GB2312" w:hAnsi="Calibri" w:eastAsia="仿宋_GB2312" w:cs="Times New Roman"/>
          <w:b w:val="0"/>
          <w:bCs w:val="0"/>
          <w:spacing w:val="0"/>
          <w:sz w:val="32"/>
          <w:szCs w:val="32"/>
        </w:rPr>
        <w:t>个人示范维度</w:t>
      </w:r>
      <w:r>
        <w:rPr>
          <w:rFonts w:hint="eastAsia" w:ascii="仿宋_GB2312" w:hAnsi="Calibri" w:eastAsia="仿宋_GB2312" w:cs="Times New Roman"/>
          <w:spacing w:val="0"/>
          <w:sz w:val="32"/>
          <w:szCs w:val="32"/>
        </w:rPr>
        <w:t>两大模块，按维度量化评分、择优评选。</w:t>
      </w:r>
    </w:p>
    <w:p w14:paraId="1070E7A1">
      <w:pPr>
        <w:widowControl/>
        <w:numPr>
          <w:ilvl w:val="0"/>
          <w:numId w:val="0"/>
        </w:numPr>
        <w:spacing w:line="560" w:lineRule="exact"/>
        <w:ind w:firstLine="0" w:firstLineChars="0"/>
        <w:jc w:val="left"/>
        <w:rPr>
          <w:rFonts w:hint="eastAsia" w:ascii="黑体" w:hAnsi="黑体" w:eastAsia="黑体" w:cs="黑体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</w:rPr>
        <w:t>班级建设维度（</w:t>
      </w: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  <w:lang w:eastAsia="zh-CN"/>
        </w:rPr>
        <w:t>7</w:t>
      </w: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  <w:lang w:val="en-US" w:eastAsia="zh-CN"/>
        </w:rPr>
        <w:t>0</w:t>
      </w: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</w:rPr>
        <w:t>分）</w:t>
      </w:r>
    </w:p>
    <w:p w14:paraId="5E8DADBE">
      <w:pPr>
        <w:widowControl/>
        <w:spacing w:line="560" w:lineRule="exact"/>
        <w:ind w:firstLine="643" w:firstLineChars="200"/>
        <w:jc w:val="left"/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</w:rPr>
      </w:pPr>
      <w:r>
        <w:rPr>
          <w:rFonts w:hint="default" w:ascii="方正楷体_GB2312" w:hAnsi="方正楷体_GB2312" w:eastAsia="方正楷体_GB2312" w:cs="方正楷体_GB2312"/>
          <w:b/>
          <w:bCs/>
          <w:spacing w:val="0"/>
          <w:sz w:val="32"/>
          <w:szCs w:val="32"/>
          <w:lang w:eastAsia="zh-CN"/>
        </w:rPr>
        <w:t>（</w:t>
      </w:r>
      <w:r>
        <w:rPr>
          <w:rFonts w:hint="default" w:ascii="方正楷体_GB2312" w:hAnsi="方正楷体_GB2312" w:eastAsia="方正楷体_GB2312" w:cs="方正楷体_GB2312"/>
          <w:b/>
          <w:bCs/>
          <w:spacing w:val="0"/>
          <w:sz w:val="32"/>
          <w:szCs w:val="32"/>
          <w:lang w:val="en-US" w:eastAsia="zh-CN"/>
        </w:rPr>
        <w:t>一</w:t>
      </w:r>
      <w:r>
        <w:rPr>
          <w:rFonts w:hint="default" w:ascii="方正楷体_GB2312" w:hAnsi="方正楷体_GB2312" w:eastAsia="方正楷体_GB2312" w:cs="方正楷体_GB2312"/>
          <w:b/>
          <w:bCs/>
          <w:spacing w:val="0"/>
          <w:sz w:val="32"/>
          <w:szCs w:val="32"/>
          <w:lang w:eastAsia="zh-CN"/>
        </w:rPr>
        <w:t>）</w:t>
      </w:r>
      <w:r>
        <w:rPr>
          <w:rFonts w:hint="default" w:ascii="方正楷体_GB2312" w:hAnsi="方正楷体_GB2312" w:eastAsia="方正楷体_GB2312" w:cs="方正楷体_GB2312"/>
          <w:b/>
          <w:bCs/>
          <w:spacing w:val="0"/>
          <w:sz w:val="32"/>
          <w:szCs w:val="32"/>
        </w:rPr>
        <w:t>班级综合表现（</w:t>
      </w:r>
      <w:r>
        <w:rPr>
          <w:rFonts w:hint="eastAsia" w:ascii="方正楷体_GB2312" w:hAnsi="方正楷体_GB2312" w:eastAsia="方正楷体_GB2312" w:cs="方正楷体_GB2312"/>
          <w:b/>
          <w:bCs/>
          <w:spacing w:val="0"/>
          <w:sz w:val="32"/>
          <w:szCs w:val="32"/>
          <w:lang w:eastAsia="zh-CN"/>
        </w:rPr>
        <w:t>2</w:t>
      </w:r>
      <w:r>
        <w:rPr>
          <w:rFonts w:hint="eastAsia" w:ascii="方正楷体_GB2312" w:hAnsi="方正楷体_GB2312" w:eastAsia="方正楷体_GB2312" w:cs="方正楷体_GB2312"/>
          <w:b/>
          <w:bCs/>
          <w:spacing w:val="0"/>
          <w:sz w:val="32"/>
          <w:szCs w:val="32"/>
          <w:lang w:val="en-US" w:eastAsia="zh-CN"/>
        </w:rPr>
        <w:t>5</w:t>
      </w:r>
      <w:r>
        <w:rPr>
          <w:rFonts w:hint="default" w:ascii="方正楷体_GB2312" w:hAnsi="方正楷体_GB2312" w:eastAsia="方正楷体_GB2312" w:cs="方正楷体_GB2312"/>
          <w:b/>
          <w:bCs/>
          <w:spacing w:val="0"/>
          <w:sz w:val="32"/>
          <w:szCs w:val="32"/>
        </w:rPr>
        <w:t>分）</w:t>
      </w:r>
    </w:p>
    <w:p w14:paraId="78F4FD0F">
      <w:pPr>
        <w:widowControl/>
        <w:spacing w:line="560" w:lineRule="exact"/>
        <w:ind w:firstLine="643" w:firstLineChars="200"/>
        <w:jc w:val="left"/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  <w:lang w:eastAsia="zh-CN"/>
        </w:rPr>
        <w:t>1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  <w:lang w:val="en-US" w:eastAsia="zh-CN"/>
        </w:rPr>
        <w:t>.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</w:rPr>
        <w:t>思想政治与文明素养（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  <w:lang w:eastAsia="zh-CN"/>
        </w:rPr>
        <w:t>5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</w:rPr>
        <w:t>分）</w:t>
      </w:r>
    </w:p>
    <w:p w14:paraId="05F60433">
      <w:pPr>
        <w:widowControl/>
        <w:spacing w:line="560" w:lineRule="exact"/>
        <w:ind w:firstLine="640" w:firstLineChars="200"/>
        <w:jc w:val="left"/>
        <w:rPr>
          <w:rFonts w:hint="eastAsia" w:ascii="仿宋_GB2312" w:hAnsi="Calibri" w:eastAsia="仿宋_GB2312" w:cs="Times New Roman"/>
          <w:b w:val="0"/>
          <w:bCs w:val="0"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b w:val="0"/>
          <w:bCs w:val="0"/>
          <w:spacing w:val="0"/>
          <w:sz w:val="32"/>
          <w:szCs w:val="32"/>
        </w:rPr>
        <w:t>思想积极上进，积极参加思想理论学习与教育活动；遵守校园文明规范，无违纪违规行为。</w:t>
      </w:r>
    </w:p>
    <w:p w14:paraId="24CBBD14">
      <w:pPr>
        <w:widowControl/>
        <w:spacing w:line="560" w:lineRule="exact"/>
        <w:ind w:firstLine="643" w:firstLineChars="200"/>
        <w:jc w:val="left"/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  <w:lang w:eastAsia="zh-CN"/>
        </w:rPr>
        <w:t>2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  <w:lang w:val="en-US" w:eastAsia="zh-CN"/>
        </w:rPr>
        <w:t>.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</w:rPr>
        <w:t>课堂学风与出勤纪律（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  <w:lang w:eastAsia="zh-CN"/>
        </w:rPr>
        <w:t>5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</w:rPr>
        <w:t>分）</w:t>
      </w:r>
    </w:p>
    <w:p w14:paraId="67124B5D">
      <w:pPr>
        <w:widowControl/>
        <w:spacing w:line="560" w:lineRule="exact"/>
        <w:ind w:firstLine="640" w:firstLineChars="200"/>
        <w:jc w:val="left"/>
        <w:rPr>
          <w:rFonts w:hint="eastAsia" w:ascii="仿宋_GB2312" w:hAnsi="Calibri" w:eastAsia="仿宋_GB2312" w:cs="Times New Roman"/>
          <w:b w:val="0"/>
          <w:bCs w:val="0"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b w:val="0"/>
          <w:bCs w:val="0"/>
          <w:spacing w:val="0"/>
          <w:sz w:val="32"/>
          <w:szCs w:val="32"/>
        </w:rPr>
        <w:t>学习态度端正，课堂抬头率高，作业完成质量好；上课出勤率高，迟到、早退、旷课现象少。</w:t>
      </w:r>
    </w:p>
    <w:p w14:paraId="1788F59A">
      <w:pPr>
        <w:widowControl/>
        <w:spacing w:line="560" w:lineRule="exact"/>
        <w:ind w:firstLine="643" w:firstLineChars="200"/>
        <w:jc w:val="left"/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  <w:lang w:eastAsia="zh-CN"/>
        </w:rPr>
        <w:t>3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  <w:lang w:val="en-US" w:eastAsia="zh-CN"/>
        </w:rPr>
        <w:t>.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</w:rPr>
        <w:t>遵纪守法与诚信考风（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  <w:lang w:eastAsia="zh-CN"/>
        </w:rPr>
        <w:t>5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</w:rPr>
        <w:t>分）</w:t>
      </w:r>
    </w:p>
    <w:p w14:paraId="2FD19228">
      <w:pPr>
        <w:widowControl/>
        <w:spacing w:line="560" w:lineRule="exact"/>
        <w:ind w:firstLine="640" w:firstLineChars="200"/>
        <w:jc w:val="left"/>
        <w:rPr>
          <w:rFonts w:hint="eastAsia" w:ascii="仿宋_GB2312" w:hAnsi="Calibri" w:eastAsia="仿宋_GB2312" w:cs="Times New Roman"/>
          <w:b w:val="0"/>
          <w:bCs w:val="0"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b w:val="0"/>
          <w:bCs w:val="0"/>
          <w:spacing w:val="0"/>
          <w:sz w:val="32"/>
          <w:szCs w:val="32"/>
        </w:rPr>
        <w:t>恪守大学生行为准则，无考试作弊、无违纪处分；主动开展诚信考试教育与志愿服务活动。</w:t>
      </w:r>
    </w:p>
    <w:p w14:paraId="2DF2A40A">
      <w:pPr>
        <w:widowControl/>
        <w:spacing w:line="560" w:lineRule="exact"/>
        <w:ind w:firstLine="643" w:firstLineChars="200"/>
        <w:jc w:val="left"/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  <w:lang w:eastAsia="zh-CN"/>
        </w:rPr>
        <w:t>4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  <w:lang w:val="en-US" w:eastAsia="zh-CN"/>
        </w:rPr>
        <w:t>.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</w:rPr>
        <w:t>班级文化与集体建设（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  <w:lang w:eastAsia="zh-CN"/>
        </w:rPr>
        <w:t>5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</w:rPr>
        <w:t>分）</w:t>
      </w:r>
    </w:p>
    <w:p w14:paraId="6D55380B">
      <w:pPr>
        <w:widowControl/>
        <w:spacing w:line="560" w:lineRule="exact"/>
        <w:ind w:firstLine="640" w:firstLineChars="200"/>
        <w:jc w:val="left"/>
        <w:rPr>
          <w:rFonts w:hint="eastAsia" w:ascii="仿宋_GB2312" w:hAnsi="Calibri" w:eastAsia="仿宋_GB2312" w:cs="Times New Roman"/>
          <w:b w:val="0"/>
          <w:bCs w:val="0"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b w:val="0"/>
          <w:bCs w:val="0"/>
          <w:spacing w:val="0"/>
          <w:sz w:val="32"/>
          <w:szCs w:val="32"/>
        </w:rPr>
        <w:t>班级凝聚力强，集体活动丰富，制度健全、管理民主、班务公开，班干部履职到位。</w:t>
      </w:r>
    </w:p>
    <w:p w14:paraId="2190C54B">
      <w:pPr>
        <w:widowControl/>
        <w:spacing w:line="240" w:lineRule="auto"/>
        <w:ind w:firstLine="643" w:firstLineChars="200"/>
        <w:jc w:val="left"/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  <w:lang w:eastAsia="zh-CN"/>
        </w:rPr>
        <w:t>5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  <w:lang w:val="en-US" w:eastAsia="zh-CN"/>
        </w:rPr>
        <w:t>.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</w:rPr>
        <w:t>宿舍文明与安全规范（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  <w:lang w:eastAsia="zh-CN"/>
        </w:rPr>
        <w:t>5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</w:rPr>
        <w:t>分）</w:t>
      </w:r>
    </w:p>
    <w:p w14:paraId="604FF566">
      <w:pPr>
        <w:widowControl/>
        <w:spacing w:line="560" w:lineRule="exact"/>
        <w:ind w:firstLine="640" w:firstLineChars="200"/>
        <w:jc w:val="left"/>
        <w:rPr>
          <w:rFonts w:hint="eastAsia" w:ascii="仿宋_GB2312" w:hAnsi="Calibri" w:eastAsia="仿宋_GB2312" w:cs="Times New Roman"/>
          <w:b w:val="0"/>
          <w:bCs w:val="0"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b w:val="0"/>
          <w:bCs w:val="0"/>
          <w:spacing w:val="0"/>
          <w:sz w:val="32"/>
          <w:szCs w:val="32"/>
        </w:rPr>
        <w:t>宿舍卫生整洁，无违章电器使用，成员团结互助，寝室文明达标。</w:t>
      </w:r>
    </w:p>
    <w:p w14:paraId="5F0D29EC">
      <w:pPr>
        <w:widowControl/>
        <w:spacing w:line="560" w:lineRule="exact"/>
        <w:ind w:firstLine="640" w:firstLineChars="200"/>
        <w:jc w:val="left"/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  <w:lang w:eastAsia="zh-CN"/>
        </w:rPr>
        <w:t>（</w:t>
      </w:r>
      <w:r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  <w:lang w:val="en-US" w:eastAsia="zh-CN"/>
        </w:rPr>
        <w:t>二</w:t>
      </w:r>
      <w:r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  <w:lang w:eastAsia="zh-CN"/>
        </w:rPr>
        <w:t>）</w:t>
      </w:r>
      <w:r>
        <w:rPr>
          <w:rFonts w:hint="default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</w:rPr>
        <w:t>学业成绩核心指标（</w:t>
      </w:r>
      <w:r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  <w:lang w:eastAsia="zh-CN"/>
        </w:rPr>
        <w:t>3</w:t>
      </w:r>
      <w:r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  <w:lang w:val="en-US" w:eastAsia="zh-CN"/>
        </w:rPr>
        <w:t>0</w:t>
      </w:r>
      <w:r>
        <w:rPr>
          <w:rFonts w:hint="default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</w:rPr>
        <w:t>分）</w:t>
      </w:r>
    </w:p>
    <w:p w14:paraId="3E68A883">
      <w:pPr>
        <w:widowControl/>
        <w:spacing w:line="560" w:lineRule="exact"/>
        <w:ind w:firstLine="643" w:firstLineChars="200"/>
        <w:jc w:val="left"/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  <w:lang w:val="en-US" w:eastAsia="zh-CN"/>
        </w:rPr>
        <w:t>1.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</w:rPr>
        <w:t>班级平均学分绩点（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  <w:lang w:eastAsia="zh-CN"/>
        </w:rPr>
        <w:t>1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  <w:lang w:val="en-US" w:eastAsia="zh-CN"/>
        </w:rPr>
        <w:t>0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</w:rPr>
        <w:t>分）</w:t>
      </w:r>
    </w:p>
    <w:tbl>
      <w:tblPr>
        <w:tblStyle w:val="6"/>
        <w:tblW w:w="9282" w:type="dxa"/>
        <w:tblInd w:w="2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0"/>
        <w:gridCol w:w="2320"/>
        <w:gridCol w:w="2320"/>
        <w:gridCol w:w="2322"/>
      </w:tblGrid>
      <w:tr w14:paraId="5C8A9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320" w:type="dxa"/>
            <w:noWrap w:val="0"/>
            <w:vAlign w:val="top"/>
          </w:tcPr>
          <w:p w14:paraId="3470B2F2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  <w:t>≥3.2</w:t>
            </w:r>
          </w:p>
        </w:tc>
        <w:tc>
          <w:tcPr>
            <w:tcW w:w="2320" w:type="dxa"/>
            <w:noWrap w:val="0"/>
            <w:vAlign w:val="top"/>
          </w:tcPr>
          <w:p w14:paraId="1AC97073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  <w:t>3.1–3.0</w:t>
            </w:r>
          </w:p>
        </w:tc>
        <w:tc>
          <w:tcPr>
            <w:tcW w:w="2320" w:type="dxa"/>
            <w:noWrap w:val="0"/>
            <w:vAlign w:val="top"/>
          </w:tcPr>
          <w:p w14:paraId="47747161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eastAsia="仿宋_GB2312" w:cs="Times New Roman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  <w:t>2.9–2.</w:t>
            </w:r>
            <w:r>
              <w:rPr>
                <w:rFonts w:hint="eastAsia" w:ascii="仿宋_GB2312" w:eastAsia="仿宋_GB2312" w:cs="Times New Roman"/>
                <w:spacing w:val="0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2322" w:type="dxa"/>
            <w:noWrap w:val="0"/>
            <w:vAlign w:val="top"/>
          </w:tcPr>
          <w:p w14:paraId="35610CBA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  <w:t>＜2.5</w:t>
            </w:r>
          </w:p>
        </w:tc>
      </w:tr>
      <w:tr w14:paraId="7CB16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2320" w:type="dxa"/>
            <w:noWrap w:val="0"/>
            <w:vAlign w:val="top"/>
          </w:tcPr>
          <w:p w14:paraId="5E7F0290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  <w:lang w:eastAsia="zh-CN"/>
              </w:rPr>
              <w:t>1</w:t>
            </w: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  <w:lang w:val="en-US" w:eastAsia="zh-CN"/>
              </w:rPr>
              <w:t>0</w:t>
            </w: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  <w:t>分</w:t>
            </w:r>
          </w:p>
        </w:tc>
        <w:tc>
          <w:tcPr>
            <w:tcW w:w="2320" w:type="dxa"/>
            <w:noWrap w:val="0"/>
            <w:vAlign w:val="top"/>
          </w:tcPr>
          <w:p w14:paraId="5675F685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  <w:t>8分</w:t>
            </w:r>
          </w:p>
        </w:tc>
        <w:tc>
          <w:tcPr>
            <w:tcW w:w="2320" w:type="dxa"/>
            <w:noWrap w:val="0"/>
            <w:vAlign w:val="top"/>
          </w:tcPr>
          <w:p w14:paraId="3341E354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  <w:t>5分</w:t>
            </w:r>
          </w:p>
        </w:tc>
        <w:tc>
          <w:tcPr>
            <w:tcW w:w="2322" w:type="dxa"/>
            <w:noWrap w:val="0"/>
            <w:vAlign w:val="top"/>
          </w:tcPr>
          <w:p w14:paraId="64697F00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  <w:t>取消参评资格</w:t>
            </w:r>
          </w:p>
        </w:tc>
      </w:tr>
    </w:tbl>
    <w:p w14:paraId="776BC7F9">
      <w:pPr>
        <w:widowControl/>
        <w:numPr>
          <w:ilvl w:val="0"/>
          <w:numId w:val="0"/>
        </w:numPr>
        <w:spacing w:line="560" w:lineRule="exact"/>
        <w:ind w:firstLine="643" w:firstLineChars="200"/>
        <w:jc w:val="both"/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  <w:lang w:val="en-US" w:eastAsia="zh-CN"/>
        </w:rPr>
        <w:t>2.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</w:rPr>
        <w:t>课程及格率（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  <w:lang w:eastAsia="zh-CN"/>
        </w:rPr>
        <w:t>1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  <w:lang w:val="en-US" w:eastAsia="zh-CN"/>
        </w:rPr>
        <w:t>0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</w:rPr>
        <w:t>分）</w:t>
      </w:r>
    </w:p>
    <w:tbl>
      <w:tblPr>
        <w:tblStyle w:val="6"/>
        <w:tblW w:w="9281" w:type="dxa"/>
        <w:tblInd w:w="2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0"/>
        <w:gridCol w:w="2320"/>
        <w:gridCol w:w="2320"/>
        <w:gridCol w:w="2321"/>
      </w:tblGrid>
      <w:tr w14:paraId="2894B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2320" w:type="dxa"/>
            <w:noWrap w:val="0"/>
            <w:vAlign w:val="top"/>
          </w:tcPr>
          <w:p w14:paraId="775B08C8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  <w:t>≥90%</w:t>
            </w:r>
          </w:p>
        </w:tc>
        <w:tc>
          <w:tcPr>
            <w:tcW w:w="2320" w:type="dxa"/>
            <w:noWrap w:val="0"/>
            <w:vAlign w:val="top"/>
          </w:tcPr>
          <w:p w14:paraId="0131BE4E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  <w:t>85%–89%</w:t>
            </w:r>
          </w:p>
        </w:tc>
        <w:tc>
          <w:tcPr>
            <w:tcW w:w="2320" w:type="dxa"/>
            <w:noWrap w:val="0"/>
            <w:vAlign w:val="top"/>
          </w:tcPr>
          <w:p w14:paraId="071DA99E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  <w:t>80%–84%</w:t>
            </w:r>
          </w:p>
        </w:tc>
        <w:tc>
          <w:tcPr>
            <w:tcW w:w="2321" w:type="dxa"/>
            <w:noWrap w:val="0"/>
            <w:vAlign w:val="top"/>
          </w:tcPr>
          <w:p w14:paraId="08BF8CE5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  <w:t>＜80%</w:t>
            </w:r>
          </w:p>
        </w:tc>
      </w:tr>
      <w:tr w14:paraId="07C88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0" w:type="dxa"/>
            <w:noWrap w:val="0"/>
            <w:vAlign w:val="top"/>
          </w:tcPr>
          <w:p w14:paraId="555B8BBE">
            <w:pPr>
              <w:widowControl/>
              <w:spacing w:line="560" w:lineRule="exact"/>
              <w:ind w:firstLine="640" w:firstLineChars="200"/>
              <w:jc w:val="center"/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  <w:t>10分</w:t>
            </w:r>
          </w:p>
        </w:tc>
        <w:tc>
          <w:tcPr>
            <w:tcW w:w="2320" w:type="dxa"/>
            <w:noWrap w:val="0"/>
            <w:vAlign w:val="top"/>
          </w:tcPr>
          <w:p w14:paraId="459D7C30">
            <w:pPr>
              <w:widowControl/>
              <w:spacing w:line="560" w:lineRule="exact"/>
              <w:ind w:firstLine="640" w:firstLineChars="200"/>
              <w:jc w:val="center"/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  <w:t>8分</w:t>
            </w:r>
          </w:p>
        </w:tc>
        <w:tc>
          <w:tcPr>
            <w:tcW w:w="2320" w:type="dxa"/>
            <w:noWrap w:val="0"/>
            <w:vAlign w:val="top"/>
          </w:tcPr>
          <w:p w14:paraId="70A75DE8">
            <w:pPr>
              <w:widowControl/>
              <w:spacing w:line="560" w:lineRule="exact"/>
              <w:ind w:firstLine="640" w:firstLineChars="200"/>
              <w:jc w:val="center"/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  <w:t>5分</w:t>
            </w:r>
          </w:p>
        </w:tc>
        <w:tc>
          <w:tcPr>
            <w:tcW w:w="2321" w:type="dxa"/>
            <w:noWrap w:val="0"/>
            <w:vAlign w:val="top"/>
          </w:tcPr>
          <w:p w14:paraId="1CFE7CD2">
            <w:pPr>
              <w:widowControl/>
              <w:spacing w:line="560" w:lineRule="exact"/>
              <w:ind w:firstLine="960" w:firstLineChars="300"/>
              <w:jc w:val="center"/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  <w:t>2分</w:t>
            </w:r>
          </w:p>
        </w:tc>
      </w:tr>
    </w:tbl>
    <w:p w14:paraId="0334467D">
      <w:pPr>
        <w:widowControl/>
        <w:numPr>
          <w:ilvl w:val="0"/>
          <w:numId w:val="0"/>
        </w:numPr>
        <w:spacing w:line="560" w:lineRule="exact"/>
        <w:ind w:firstLine="643" w:firstLineChars="200"/>
        <w:jc w:val="both"/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  <w:lang w:val="en-US" w:eastAsia="zh-CN"/>
        </w:rPr>
        <w:t>3.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</w:rPr>
        <w:t>成绩优良率（10 分）</w:t>
      </w:r>
    </w:p>
    <w:tbl>
      <w:tblPr>
        <w:tblStyle w:val="6"/>
        <w:tblW w:w="9323" w:type="dxa"/>
        <w:tblInd w:w="17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0"/>
        <w:gridCol w:w="2330"/>
        <w:gridCol w:w="2330"/>
        <w:gridCol w:w="2333"/>
      </w:tblGrid>
      <w:tr w14:paraId="1AAD8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330" w:type="dxa"/>
            <w:noWrap w:val="0"/>
            <w:vAlign w:val="top"/>
          </w:tcPr>
          <w:p w14:paraId="5E907924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  <w:t>≥20%</w:t>
            </w:r>
          </w:p>
        </w:tc>
        <w:tc>
          <w:tcPr>
            <w:tcW w:w="2330" w:type="dxa"/>
            <w:noWrap w:val="0"/>
            <w:vAlign w:val="top"/>
          </w:tcPr>
          <w:p w14:paraId="21D438B4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  <w:t>15%–19%</w:t>
            </w:r>
          </w:p>
        </w:tc>
        <w:tc>
          <w:tcPr>
            <w:tcW w:w="2330" w:type="dxa"/>
            <w:noWrap w:val="0"/>
            <w:vAlign w:val="top"/>
          </w:tcPr>
          <w:p w14:paraId="073A30FC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  <w:t>10%–14%</w:t>
            </w:r>
          </w:p>
        </w:tc>
        <w:tc>
          <w:tcPr>
            <w:tcW w:w="2333" w:type="dxa"/>
            <w:noWrap w:val="0"/>
            <w:vAlign w:val="top"/>
          </w:tcPr>
          <w:p w14:paraId="67EC1238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  <w:t>＜10%</w:t>
            </w:r>
          </w:p>
        </w:tc>
      </w:tr>
      <w:tr w14:paraId="43530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0" w:type="dxa"/>
            <w:noWrap w:val="0"/>
            <w:vAlign w:val="top"/>
          </w:tcPr>
          <w:p w14:paraId="0F385DC0">
            <w:pPr>
              <w:widowControl/>
              <w:spacing w:line="560" w:lineRule="exact"/>
              <w:ind w:firstLine="640" w:firstLineChars="200"/>
              <w:jc w:val="center"/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  <w:t>10 分</w:t>
            </w:r>
          </w:p>
        </w:tc>
        <w:tc>
          <w:tcPr>
            <w:tcW w:w="2330" w:type="dxa"/>
            <w:noWrap w:val="0"/>
            <w:vAlign w:val="top"/>
          </w:tcPr>
          <w:p w14:paraId="5685AB10">
            <w:pPr>
              <w:widowControl/>
              <w:spacing w:line="560" w:lineRule="exact"/>
              <w:ind w:firstLine="640" w:firstLineChars="200"/>
              <w:jc w:val="center"/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  <w:t>8分</w:t>
            </w:r>
          </w:p>
        </w:tc>
        <w:tc>
          <w:tcPr>
            <w:tcW w:w="2330" w:type="dxa"/>
            <w:noWrap w:val="0"/>
            <w:vAlign w:val="top"/>
          </w:tcPr>
          <w:p w14:paraId="37AB6240">
            <w:pPr>
              <w:widowControl/>
              <w:spacing w:line="560" w:lineRule="exact"/>
              <w:ind w:firstLine="640" w:firstLineChars="200"/>
              <w:jc w:val="center"/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  <w:t>5分</w:t>
            </w:r>
          </w:p>
        </w:tc>
        <w:tc>
          <w:tcPr>
            <w:tcW w:w="2333" w:type="dxa"/>
            <w:noWrap w:val="0"/>
            <w:vAlign w:val="top"/>
          </w:tcPr>
          <w:p w14:paraId="5B1953D9">
            <w:pPr>
              <w:widowControl/>
              <w:spacing w:line="560" w:lineRule="exact"/>
              <w:ind w:firstLine="960" w:firstLineChars="300"/>
              <w:jc w:val="center"/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  <w:t>2分</w:t>
            </w:r>
          </w:p>
        </w:tc>
      </w:tr>
    </w:tbl>
    <w:p w14:paraId="43F3A5A2">
      <w:pPr>
        <w:widowControl/>
        <w:spacing w:line="560" w:lineRule="exact"/>
        <w:ind w:firstLine="640" w:firstLineChars="200"/>
        <w:jc w:val="left"/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  <w:lang w:eastAsia="zh-CN"/>
        </w:rPr>
        <w:t>（</w:t>
      </w:r>
      <w:r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  <w:lang w:val="en-US" w:eastAsia="zh-CN"/>
        </w:rPr>
        <w:t>三</w:t>
      </w:r>
      <w:r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  <w:lang w:eastAsia="zh-CN"/>
        </w:rPr>
        <w:t>）</w:t>
      </w:r>
      <w:r>
        <w:rPr>
          <w:rFonts w:hint="default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</w:rPr>
        <w:t>学风建设专项举措（15分）</w:t>
      </w:r>
    </w:p>
    <w:p w14:paraId="16B1A93D">
      <w:pPr>
        <w:widowControl/>
        <w:spacing w:line="560" w:lineRule="exact"/>
        <w:ind w:firstLine="640" w:firstLineChars="200"/>
        <w:jc w:val="left"/>
        <w:rPr>
          <w:rFonts w:hint="eastAsia" w:ascii="仿宋_GB2312" w:hAnsi="Calibri" w:eastAsia="仿宋_GB2312" w:cs="Times New Roman"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spacing w:val="0"/>
          <w:sz w:val="32"/>
          <w:szCs w:val="32"/>
        </w:rPr>
        <w:t>班级有学风建设方案、执行记录（满一学期以上），举措有效、成效明显，按落实情况打分。</w:t>
      </w:r>
    </w:p>
    <w:p w14:paraId="771A28DD">
      <w:pPr>
        <w:widowControl/>
        <w:spacing w:before="157" w:beforeLines="50" w:line="560" w:lineRule="exact"/>
        <w:ind w:firstLine="0" w:firstLineChars="0"/>
        <w:jc w:val="left"/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</w:rPr>
        <w:t>三、个人示范维度（30 分）</w:t>
      </w:r>
    </w:p>
    <w:p w14:paraId="5719183D">
      <w:pPr>
        <w:widowControl/>
        <w:spacing w:before="157" w:beforeLines="50" w:line="560" w:lineRule="exact"/>
        <w:ind w:firstLine="640" w:firstLineChars="200"/>
        <w:jc w:val="left"/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  <w:lang w:eastAsia="zh-CN"/>
        </w:rPr>
        <w:t>（</w:t>
      </w:r>
      <w:r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  <w:lang w:val="en-US" w:eastAsia="zh-CN"/>
        </w:rPr>
        <w:t>一</w:t>
      </w:r>
      <w:r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  <w:lang w:eastAsia="zh-CN"/>
        </w:rPr>
        <w:t>）</w:t>
      </w:r>
      <w:r>
        <w:rPr>
          <w:rFonts w:hint="default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</w:rPr>
        <w:t>榜样引领与学风带动（</w:t>
      </w:r>
      <w:r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  <w:lang w:eastAsia="zh-CN"/>
        </w:rPr>
        <w:t>1</w:t>
      </w:r>
      <w:r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  <w:lang w:val="en-US" w:eastAsia="zh-CN"/>
        </w:rPr>
        <w:t>0</w:t>
      </w:r>
      <w:r>
        <w:rPr>
          <w:rFonts w:hint="default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</w:rPr>
        <w:t>分）</w:t>
      </w:r>
    </w:p>
    <w:p w14:paraId="0900F4A8">
      <w:pPr>
        <w:widowControl/>
        <w:spacing w:line="560" w:lineRule="exact"/>
        <w:ind w:firstLine="640" w:firstLineChars="200"/>
        <w:jc w:val="left"/>
        <w:rPr>
          <w:rFonts w:hint="eastAsia" w:ascii="仿宋_GB2312" w:hAnsi="Calibri" w:eastAsia="仿宋_GB2312" w:cs="Times New Roman"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spacing w:val="0"/>
          <w:sz w:val="32"/>
          <w:szCs w:val="32"/>
        </w:rPr>
        <w:t>班级学生骨干、优秀学生主动发挥示范作用，带动班级学习氛围，群众认可度高。</w:t>
      </w:r>
    </w:p>
    <w:p w14:paraId="4FE154F5">
      <w:pPr>
        <w:widowControl/>
        <w:spacing w:line="560" w:lineRule="exact"/>
        <w:ind w:firstLine="640" w:firstLineChars="200"/>
        <w:jc w:val="left"/>
        <w:rPr>
          <w:rFonts w:hint="eastAsia" w:ascii="方正楷体_GB2312" w:hAnsi="方正楷体_GB2312" w:eastAsia="方正楷体_GB2312" w:cs="方正楷体_GB2312"/>
          <w:spacing w:val="0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  <w:lang w:eastAsia="zh-CN"/>
        </w:rPr>
        <w:t>（</w:t>
      </w:r>
      <w:r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  <w:lang w:val="en-US" w:eastAsia="zh-CN"/>
        </w:rPr>
        <w:t>二</w:t>
      </w:r>
      <w:r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  <w:lang w:eastAsia="zh-CN"/>
        </w:rPr>
        <w:t>）</w:t>
      </w:r>
      <w:r>
        <w:rPr>
          <w:rFonts w:hint="default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</w:rPr>
        <w:t>助学服务参与情况（</w:t>
      </w:r>
      <w:r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  <w:lang w:eastAsia="zh-CN"/>
        </w:rPr>
        <w:t>2</w:t>
      </w:r>
      <w:r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  <w:lang w:val="en-US" w:eastAsia="zh-CN"/>
        </w:rPr>
        <w:t>0</w:t>
      </w:r>
      <w:r>
        <w:rPr>
          <w:rFonts w:hint="default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</w:rPr>
        <w:t>分）</w:t>
      </w:r>
    </w:p>
    <w:p w14:paraId="17D17960">
      <w:pPr>
        <w:widowControl/>
        <w:spacing w:line="560" w:lineRule="exact"/>
        <w:ind w:firstLine="643" w:firstLineChars="200"/>
        <w:jc w:val="left"/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  <w:lang w:eastAsia="zh-CN"/>
        </w:rPr>
        <w:t>1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  <w:lang w:val="en-US" w:eastAsia="zh-CN"/>
        </w:rPr>
        <w:t>.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</w:rPr>
        <w:t>校院助学活动参与情况（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  <w:lang w:eastAsia="zh-CN"/>
        </w:rPr>
        <w:t>1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  <w:lang w:val="en-US" w:eastAsia="zh-CN"/>
        </w:rPr>
        <w:t>0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</w:rPr>
        <w:t>分）</w:t>
      </w:r>
    </w:p>
    <w:p w14:paraId="597B34A1">
      <w:pPr>
        <w:widowControl/>
        <w:spacing w:line="560" w:lineRule="exact"/>
        <w:ind w:firstLine="643" w:firstLineChars="200"/>
        <w:jc w:val="left"/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</w:rPr>
      </w:pPr>
    </w:p>
    <w:tbl>
      <w:tblPr>
        <w:tblStyle w:val="6"/>
        <w:tblW w:w="9315" w:type="dxa"/>
        <w:tblInd w:w="2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05"/>
        <w:gridCol w:w="3105"/>
        <w:gridCol w:w="3105"/>
      </w:tblGrid>
      <w:tr w14:paraId="2F0E3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3105" w:type="dxa"/>
            <w:noWrap w:val="0"/>
            <w:vAlign w:val="top"/>
          </w:tcPr>
          <w:p w14:paraId="31EF9600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  <w:t>3名以上同学参与</w:t>
            </w:r>
          </w:p>
        </w:tc>
        <w:tc>
          <w:tcPr>
            <w:tcW w:w="3105" w:type="dxa"/>
            <w:noWrap w:val="0"/>
            <w:vAlign w:val="top"/>
          </w:tcPr>
          <w:p w14:paraId="5581B2DA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  <w:t>1–2名同学参与</w:t>
            </w:r>
          </w:p>
        </w:tc>
        <w:tc>
          <w:tcPr>
            <w:tcW w:w="3105" w:type="dxa"/>
            <w:noWrap w:val="0"/>
            <w:vAlign w:val="top"/>
          </w:tcPr>
          <w:p w14:paraId="44E4477B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  <w:t>无人参与</w:t>
            </w:r>
          </w:p>
        </w:tc>
      </w:tr>
      <w:tr w14:paraId="413DA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05" w:type="dxa"/>
            <w:noWrap w:val="0"/>
            <w:vAlign w:val="top"/>
          </w:tcPr>
          <w:p w14:paraId="58EDDBB6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  <w:t>10</w:t>
            </w: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  <w:lang w:val="en-US" w:eastAsia="zh-CN"/>
              </w:rPr>
              <w:t>分</w:t>
            </w:r>
          </w:p>
        </w:tc>
        <w:tc>
          <w:tcPr>
            <w:tcW w:w="3105" w:type="dxa"/>
            <w:noWrap w:val="0"/>
            <w:vAlign w:val="top"/>
          </w:tcPr>
          <w:p w14:paraId="14EE0AC0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  <w:lang w:eastAsia="zh-CN"/>
              </w:rPr>
              <w:t>5</w:t>
            </w: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  <w:t>分</w:t>
            </w:r>
          </w:p>
        </w:tc>
        <w:tc>
          <w:tcPr>
            <w:tcW w:w="3105" w:type="dxa"/>
            <w:noWrap w:val="0"/>
            <w:vAlign w:val="top"/>
          </w:tcPr>
          <w:p w14:paraId="57EA4871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  <w:t>0分</w:t>
            </w:r>
          </w:p>
        </w:tc>
      </w:tr>
    </w:tbl>
    <w:p w14:paraId="3C0E9F19">
      <w:pPr>
        <w:widowControl/>
        <w:spacing w:line="560" w:lineRule="exact"/>
        <w:ind w:firstLine="643" w:firstLineChars="200"/>
        <w:jc w:val="left"/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  <w:lang w:eastAsia="zh-CN"/>
        </w:rPr>
        <w:t>2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  <w:lang w:val="en-US" w:eastAsia="zh-CN"/>
        </w:rPr>
        <w:t>.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</w:rPr>
        <w:t>班级助学服务与朋辈帮扶实效（10 分）</w:t>
      </w:r>
    </w:p>
    <w:p w14:paraId="23BB09CB">
      <w:pPr>
        <w:widowControl/>
        <w:spacing w:line="560" w:lineRule="exact"/>
        <w:ind w:firstLine="640" w:firstLineChars="200"/>
        <w:jc w:val="left"/>
        <w:rPr>
          <w:rFonts w:hint="eastAsia" w:ascii="仿宋_GB2312" w:hAnsi="Calibri" w:eastAsia="仿宋_GB2312" w:cs="Times New Roman"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spacing w:val="0"/>
          <w:sz w:val="32"/>
          <w:szCs w:val="32"/>
        </w:rPr>
        <w:t>班级内部常态化开展学业答疑、学习互助、经验分享、期末辅导等活动；有完整记录、签到、反馈与成效证明，按落实质量打分。</w:t>
      </w:r>
    </w:p>
    <w:p w14:paraId="24B854EF">
      <w:pPr>
        <w:widowControl/>
        <w:spacing w:line="560" w:lineRule="exact"/>
        <w:ind w:firstLine="0" w:firstLineChars="0"/>
        <w:jc w:val="left"/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</w:rPr>
        <w:t>四、附加分（最高 10 分，直接计入总分）</w:t>
      </w:r>
    </w:p>
    <w:p w14:paraId="12600FEE">
      <w:pPr>
        <w:widowControl/>
        <w:spacing w:line="560" w:lineRule="exact"/>
        <w:ind w:firstLine="640" w:firstLineChars="200"/>
        <w:jc w:val="left"/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  <w:lang w:eastAsia="zh-CN"/>
        </w:rPr>
        <w:t>（</w:t>
      </w:r>
      <w:r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  <w:lang w:val="en-US" w:eastAsia="zh-CN"/>
        </w:rPr>
        <w:t>一</w:t>
      </w:r>
      <w:r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  <w:lang w:eastAsia="zh-CN"/>
        </w:rPr>
        <w:t>）</w:t>
      </w:r>
      <w:r>
        <w:rPr>
          <w:rFonts w:hint="default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</w:rPr>
        <w:t>科技创新与学科竞赛（0–3 分）</w:t>
      </w:r>
    </w:p>
    <w:p w14:paraId="22FA70C1">
      <w:pPr>
        <w:widowControl/>
        <w:spacing w:line="560" w:lineRule="exact"/>
        <w:ind w:firstLine="640" w:firstLineChars="200"/>
        <w:jc w:val="left"/>
        <w:rPr>
          <w:rFonts w:hint="eastAsia" w:ascii="仿宋_GB2312" w:hAnsi="Calibri" w:eastAsia="仿宋_GB2312" w:cs="Times New Roman"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spacing w:val="0"/>
          <w:sz w:val="32"/>
          <w:szCs w:val="32"/>
        </w:rPr>
        <w:t>按校级及以上参与、获奖人次与等级计分。</w:t>
      </w:r>
    </w:p>
    <w:p w14:paraId="765A96AA">
      <w:pPr>
        <w:widowControl/>
        <w:spacing w:line="560" w:lineRule="exact"/>
        <w:ind w:firstLine="640" w:firstLineChars="200"/>
        <w:jc w:val="left"/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  <w:lang w:eastAsia="zh-CN"/>
        </w:rPr>
        <w:t>（</w:t>
      </w:r>
      <w:r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  <w:lang w:val="en-US" w:eastAsia="zh-CN"/>
        </w:rPr>
        <w:t>二</w:t>
      </w:r>
      <w:r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  <w:lang w:eastAsia="zh-CN"/>
        </w:rPr>
        <w:t>）</w:t>
      </w:r>
      <w:r>
        <w:rPr>
          <w:rFonts w:hint="default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</w:rPr>
        <w:t>学术论文与成果（0–2 分）</w:t>
      </w:r>
    </w:p>
    <w:p w14:paraId="464ACDD1">
      <w:pPr>
        <w:widowControl/>
        <w:spacing w:line="560" w:lineRule="exact"/>
        <w:ind w:firstLine="640" w:firstLineChars="200"/>
        <w:jc w:val="left"/>
        <w:rPr>
          <w:rFonts w:hint="eastAsia" w:ascii="仿宋_GB2312" w:hAnsi="Calibri" w:eastAsia="仿宋_GB2312" w:cs="Times New Roman"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spacing w:val="0"/>
          <w:sz w:val="32"/>
          <w:szCs w:val="32"/>
        </w:rPr>
        <w:t>正式出版物发表文章、学术作品、专利等，署名上海电力大学。</w:t>
      </w:r>
    </w:p>
    <w:p w14:paraId="2A91F1E0">
      <w:pPr>
        <w:widowControl/>
        <w:spacing w:line="560" w:lineRule="exact"/>
        <w:ind w:firstLine="640" w:firstLineChars="200"/>
        <w:jc w:val="left"/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  <w:lang w:eastAsia="zh-CN"/>
        </w:rPr>
        <w:t>（</w:t>
      </w:r>
      <w:r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  <w:lang w:val="en-US" w:eastAsia="zh-CN"/>
        </w:rPr>
        <w:t>三</w:t>
      </w:r>
      <w:r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  <w:lang w:eastAsia="zh-CN"/>
        </w:rPr>
        <w:t>）</w:t>
      </w:r>
      <w:r>
        <w:rPr>
          <w:rFonts w:hint="default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</w:rPr>
        <w:t>文体活动与志愿服务（0–2 分）</w:t>
      </w:r>
    </w:p>
    <w:p w14:paraId="0E96757A">
      <w:pPr>
        <w:widowControl/>
        <w:spacing w:line="560" w:lineRule="exact"/>
        <w:ind w:firstLine="640" w:firstLineChars="200"/>
        <w:jc w:val="left"/>
        <w:rPr>
          <w:rFonts w:hint="eastAsia" w:ascii="仿宋_GB2312" w:hAnsi="Calibri" w:eastAsia="仿宋_GB2312" w:cs="Times New Roman"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spacing w:val="0"/>
          <w:sz w:val="32"/>
          <w:szCs w:val="32"/>
        </w:rPr>
        <w:t>在校级及以上文体、志愿活动中获奖或表现突出。</w:t>
      </w:r>
    </w:p>
    <w:p w14:paraId="19FBDE22">
      <w:pPr>
        <w:widowControl/>
        <w:spacing w:line="560" w:lineRule="exact"/>
        <w:ind w:firstLine="640" w:firstLineChars="200"/>
        <w:jc w:val="left"/>
        <w:rPr>
          <w:rFonts w:hint="eastAsia" w:ascii="方正楷体_GB2312" w:hAnsi="方正楷体_GB2312" w:eastAsia="方正楷体_GB2312" w:cs="方正楷体_GB2312"/>
          <w:spacing w:val="0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  <w:lang w:eastAsia="zh-CN"/>
        </w:rPr>
        <w:t>（</w:t>
      </w:r>
      <w:r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  <w:lang w:val="en-US" w:eastAsia="zh-CN"/>
        </w:rPr>
        <w:t>四</w:t>
      </w:r>
      <w:r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  <w:lang w:eastAsia="zh-CN"/>
        </w:rPr>
        <w:t>）</w:t>
      </w:r>
      <w:r>
        <w:rPr>
          <w:rFonts w:hint="default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</w:rPr>
        <w:t>学风特色与示范推广（0–3 分）</w:t>
      </w:r>
    </w:p>
    <w:p w14:paraId="5C800A7F">
      <w:pPr>
        <w:widowControl/>
        <w:spacing w:line="560" w:lineRule="exact"/>
        <w:ind w:firstLine="640" w:firstLineChars="200"/>
        <w:jc w:val="left"/>
        <w:rPr>
          <w:rFonts w:hint="eastAsia" w:ascii="仿宋_GB2312" w:hAnsi="Calibri" w:eastAsia="仿宋_GB2312" w:cs="Times New Roman"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spacing w:val="0"/>
          <w:sz w:val="32"/>
          <w:szCs w:val="32"/>
        </w:rPr>
        <w:t>学风建设有品牌、有亮点，可复制、可推广，成效显著。</w:t>
      </w:r>
    </w:p>
    <w:p w14:paraId="5F8C99C1">
      <w:pPr>
        <w:widowControl/>
        <w:spacing w:line="560" w:lineRule="exact"/>
        <w:ind w:firstLine="640" w:firstLineChars="200"/>
        <w:jc w:val="left"/>
        <w:rPr>
          <w:rFonts w:hint="eastAsia" w:ascii="仿宋_GB2312" w:hAnsi="Calibri" w:eastAsia="仿宋_GB2312" w:cs="Times New Roman"/>
          <w:spacing w:val="0"/>
          <w:sz w:val="32"/>
          <w:szCs w:val="32"/>
        </w:rPr>
      </w:pPr>
    </w:p>
    <w:p w14:paraId="1FDFBC92">
      <w:pPr>
        <w:spacing w:line="560" w:lineRule="exact"/>
        <w:rPr>
          <w:rFonts w:ascii="仿宋_GB2312" w:eastAsia="仿宋_GB2312"/>
          <w:sz w:val="32"/>
          <w:szCs w:val="32"/>
        </w:rPr>
      </w:pPr>
    </w:p>
    <w:p w14:paraId="23DC9C8A"/>
    <w:sectPr>
      <w:footerReference r:id="rId3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2312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9464F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F41FF8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7F41FF8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4050BB"/>
    <w:rsid w:val="265B67AD"/>
    <w:rsid w:val="424050BB"/>
    <w:rsid w:val="7EC32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eastAsia="en-US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annotation reference"/>
    <w:uiPriority w:val="0"/>
    <w:rPr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3136</Words>
  <Characters>3248</Characters>
  <Lines>0</Lines>
  <Paragraphs>0</Paragraphs>
  <TotalTime>50</TotalTime>
  <ScaleCrop>false</ScaleCrop>
  <LinksUpToDate>false</LinksUpToDate>
  <CharactersWithSpaces>3304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2026-10-19T11:51:00Z</dcterms:created>
  <dc:creator>四七儿</dc:creator>
  <cp:lastModifiedBy>四七儿</cp:lastModifiedBy>
  <dcterms:modified xsi:type="dcterms:W3CDTF">2026-10-29T06:29:01Z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B6939A5A0B1C45B4ADE5B12B940FAC80_13</vt:lpwstr>
  </property>
  <property fmtid="{D5CDD505-2E9C-101B-9397-08002B2CF9AE}" pid="4" name="KSOTemplateDocerSaveRecord">
    <vt:lpwstr>eyJoZGlkIjoiYmFlY2E3MzVlYmI5YzQ2OTg1MjcwYzhjNTNhZGM2OTYiLCJ1c2VySWQiOiI2MTAzMTk0MzUifQ==</vt:lpwstr>
  </property>
</Properties>
</file>